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7"/>
        <w:spacing w:line="360" w:lineRule="auto"/>
        <w:jc w:val="center"/>
        <w:rPr>
          <w:rFonts w:ascii="宋体" w:hAnsi="宋体" w:cs="Arial"/>
          <w:b/>
          <w:sz w:val="36"/>
          <w:szCs w:val="36"/>
        </w:rPr>
      </w:pPr>
      <w:bookmarkStart w:id="0" w:name="_Toc50276156"/>
      <w:bookmarkStart w:id="1" w:name="_Toc98579068"/>
      <w:bookmarkStart w:id="2" w:name="_Toc98035088"/>
      <w:bookmarkStart w:id="3" w:name="_Toc98579010"/>
      <w:bookmarkStart w:id="4" w:name="_Toc98580292"/>
      <w:bookmarkStart w:id="5" w:name="_Toc50276195"/>
      <w:bookmarkStart w:id="6" w:name="_Toc101771371"/>
      <w:bookmarkStart w:id="7" w:name="_Toc101775124"/>
      <w:bookmarkStart w:id="8" w:name="_Toc101843124"/>
      <w:bookmarkStart w:id="9" w:name="_Toc101951257"/>
      <w:bookmarkStart w:id="10" w:name="_Toc175644388"/>
      <w:bookmarkStart w:id="11" w:name="_Toc403491565"/>
      <w:bookmarkStart w:id="12" w:name="_Toc401575143"/>
      <w:bookmarkStart w:id="13" w:name="_Toc37245277"/>
      <w:bookmarkStart w:id="14" w:name="_Toc37581420"/>
      <w:bookmarkStart w:id="15" w:name="_Toc40762370"/>
      <w:bookmarkStart w:id="16" w:name="_Toc37663391"/>
      <w:bookmarkStart w:id="17" w:name="_Toc46308683"/>
      <w:bookmarkStart w:id="18" w:name="_Toc37569519"/>
      <w:bookmarkStart w:id="19" w:name="_Toc98579609"/>
      <w:bookmarkStart w:id="20" w:name="_Toc37331080"/>
      <w:bookmarkStart w:id="21" w:name="_Toc37331038"/>
      <w:bookmarkStart w:id="22" w:name="_Toc46308527"/>
      <w:bookmarkStart w:id="23" w:name="_Toc37245276"/>
      <w:bookmarkStart w:id="29" w:name="_GoBack"/>
      <w:bookmarkEnd w:id="29"/>
      <w:r>
        <w:rPr>
          <w:rFonts w:hint="eastAsia" w:ascii="宋体" w:hAnsi="宋体" w:cs="Arial"/>
          <w:b/>
          <w:sz w:val="36"/>
          <w:szCs w:val="36"/>
        </w:rPr>
        <w:t>医院高质量发展决策分析平台项目需求</w:t>
      </w:r>
    </w:p>
    <w:p>
      <w:pPr>
        <w:pStyle w:val="138"/>
        <w:rPr>
          <w:rFonts w:ascii="宋体" w:hAnsi="宋体"/>
        </w:rPr>
      </w:pPr>
    </w:p>
    <w:p>
      <w:pPr>
        <w:pStyle w:val="137"/>
        <w:spacing w:line="360" w:lineRule="auto"/>
        <w:ind w:firstLine="482" w:firstLineChars="200"/>
        <w:rPr>
          <w:rFonts w:ascii="宋体" w:hAnsi="宋体" w:cs="Arial"/>
          <w:sz w:val="24"/>
        </w:rPr>
      </w:pPr>
      <w:r>
        <w:rPr>
          <w:rFonts w:hint="eastAsia" w:ascii="宋体" w:hAnsi="宋体" w:cs="Arial"/>
          <w:b/>
          <w:sz w:val="24"/>
        </w:rPr>
        <w:t>一、</w:t>
      </w:r>
      <w:bookmarkStart w:id="24" w:name="_Toc440884393"/>
      <w:r>
        <w:rPr>
          <w:rFonts w:hint="eastAsia" w:ascii="宋体" w:hAnsi="宋体" w:cs="Arial"/>
          <w:b/>
          <w:sz w:val="24"/>
        </w:rPr>
        <w:t>项目</w:t>
      </w:r>
      <w:bookmarkEnd w:id="24"/>
      <w:r>
        <w:rPr>
          <w:rFonts w:hint="eastAsia" w:ascii="宋体" w:hAnsi="宋体" w:cs="Arial"/>
          <w:b/>
          <w:sz w:val="24"/>
        </w:rPr>
        <w:t>概况</w:t>
      </w:r>
    </w:p>
    <w:p>
      <w:pPr>
        <w:pStyle w:val="137"/>
        <w:spacing w:line="360" w:lineRule="auto"/>
        <w:ind w:firstLine="480" w:firstLineChars="200"/>
        <w:rPr>
          <w:rFonts w:ascii="宋体" w:hAnsi="宋体" w:cs="宋体"/>
          <w:sz w:val="24"/>
        </w:rPr>
      </w:pPr>
      <w:r>
        <w:rPr>
          <w:rFonts w:hint="eastAsia" w:ascii="宋体" w:hAnsi="宋体" w:cs="宋体"/>
          <w:sz w:val="24"/>
        </w:rPr>
        <w:t>贵州医科大学第二附属医院（黔东南州第二人民医院）是一所集医疗、教学、科研、急救、预防、康复和保健于一体的三级甲等综合医院,是黔东南院前急救网络医院三级急救站，有两个院区（东区本部和西区翁义院区），下辖1所法医学司法鉴定所，1所健康管理（体检）中心。</w:t>
      </w:r>
    </w:p>
    <w:p>
      <w:pPr>
        <w:pStyle w:val="139"/>
        <w:spacing w:line="360" w:lineRule="auto"/>
        <w:ind w:firstLine="480"/>
        <w:rPr>
          <w:rFonts w:hAnsi="宋体" w:cs="宋体"/>
          <w:sz w:val="24"/>
        </w:rPr>
      </w:pPr>
      <w:r>
        <w:rPr>
          <w:rFonts w:hint="eastAsia" w:hAnsi="宋体" w:cs="宋体"/>
          <w:sz w:val="24"/>
        </w:rPr>
        <w:t>医院经过多年信息化建设,已建设有多个信息系统，基本满足医院运营管理需求。为进一步提升医院信息化水平，提升数据质量，深挖数据价值，将探索更多数据建设内容。</w:t>
      </w:r>
    </w:p>
    <w:p>
      <w:pPr>
        <w:pStyle w:val="139"/>
        <w:spacing w:line="360" w:lineRule="auto"/>
        <w:ind w:firstLine="480"/>
        <w:rPr>
          <w:rFonts w:hAnsi="宋体"/>
          <w:sz w:val="24"/>
          <w:szCs w:val="24"/>
        </w:rPr>
      </w:pPr>
    </w:p>
    <w:p>
      <w:pPr>
        <w:pStyle w:val="137"/>
        <w:spacing w:line="360" w:lineRule="auto"/>
        <w:ind w:firstLine="420"/>
        <w:rPr>
          <w:rFonts w:ascii="宋体" w:hAnsi="宋体" w:cs="Arial"/>
          <w:b/>
          <w:sz w:val="24"/>
        </w:rPr>
      </w:pPr>
      <w:bookmarkStart w:id="25" w:name="_Toc440884394"/>
      <w:r>
        <w:rPr>
          <w:rFonts w:hint="eastAsia" w:ascii="宋体" w:hAnsi="宋体" w:cs="Arial"/>
          <w:b/>
          <w:sz w:val="24"/>
        </w:rPr>
        <w:t>二、建设目标</w:t>
      </w:r>
      <w:bookmarkEnd w:id="25"/>
    </w:p>
    <w:p>
      <w:pPr>
        <w:pStyle w:val="137"/>
        <w:spacing w:line="360" w:lineRule="auto"/>
        <w:ind w:firstLine="560"/>
        <w:rPr>
          <w:rFonts w:ascii="宋体" w:hAnsi="宋体" w:cs="宋体"/>
          <w:sz w:val="24"/>
        </w:rPr>
      </w:pPr>
      <w:r>
        <w:rPr>
          <w:rFonts w:hint="eastAsia" w:ascii="宋体" w:hAnsi="宋体" w:cs="宋体"/>
          <w:sz w:val="24"/>
        </w:rPr>
        <w:t>通过此次连续性的计划和持续改进的建设过程，寻求符合本院最有效的信息建设道路，并实现以下项目建设目标：</w:t>
      </w:r>
    </w:p>
    <w:p>
      <w:pPr>
        <w:pStyle w:val="137"/>
        <w:spacing w:line="360" w:lineRule="auto"/>
        <w:ind w:firstLine="560"/>
        <w:rPr>
          <w:rFonts w:ascii="宋体" w:hAnsi="宋体"/>
        </w:rPr>
      </w:pPr>
      <w:r>
        <w:rPr>
          <w:rFonts w:hint="eastAsia" w:ascii="宋体" w:hAnsi="宋体" w:cs="宋体"/>
          <w:sz w:val="24"/>
        </w:rPr>
        <w:t>1．满足为医院提供“一站式”决策支持的管理信息中心系统平台（医院高质量发展决策分析系统），以医院管理为主题、面向医院“标准化、精细化、智能化”管理要求的专业分析平台，依靠智能和大数据技术，通过对医院的HIS、LIS、PACS、EMR、手术麻醉等多个业务系统中的庞大数据进行智能数据挖掘、建立数据仓库、多维处理和统计分析，以驾驶舱的形式，通过各种常见的图表形象展示医院运行的各项关键指标, 为医院的临床、管理、运营、绩效、科研教学等全面业务提供一致、准确、实时的数据分析，为医院的各级各方面决策提供可靠依据、优化资源和运行效率，</w:t>
      </w:r>
      <w:r>
        <w:rPr>
          <w:rFonts w:hint="eastAsia" w:ascii="宋体" w:hAnsi="宋体"/>
          <w:sz w:val="24"/>
        </w:rPr>
        <w:t>提升医院的决策水平和管理效率</w:t>
      </w:r>
      <w:r>
        <w:rPr>
          <w:rFonts w:hint="eastAsia" w:ascii="宋体" w:hAnsi="宋体" w:cs="宋体"/>
          <w:sz w:val="24"/>
        </w:rPr>
        <w:t>；</w:t>
      </w:r>
    </w:p>
    <w:p>
      <w:pPr>
        <w:pStyle w:val="137"/>
        <w:spacing w:line="360" w:lineRule="auto"/>
        <w:ind w:firstLine="560"/>
        <w:rPr>
          <w:rFonts w:ascii="宋体" w:hAnsi="宋体" w:cs="宋体"/>
          <w:sz w:val="24"/>
        </w:rPr>
      </w:pPr>
      <w:r>
        <w:rPr>
          <w:rFonts w:hint="eastAsia" w:ascii="宋体" w:hAnsi="宋体" w:cs="宋体"/>
          <w:sz w:val="24"/>
        </w:rPr>
        <w:t>2．建设满足“国家三级公立医院绩效考核操作手册（2023 版）”要求的国家三级公立医院绩效考核系统，系统实现数据自动提取、 自动分析，提供完整、及时、精确的管理数据，充分发挥信息化优势，满足医院不同部门对管理的数据需求,满足医院对相关考核的数据分析；</w:t>
      </w:r>
    </w:p>
    <w:p>
      <w:pPr>
        <w:pStyle w:val="137"/>
        <w:spacing w:line="360" w:lineRule="auto"/>
        <w:ind w:firstLine="560"/>
        <w:rPr>
          <w:rFonts w:ascii="宋体" w:hAnsi="宋体" w:cs="宋体"/>
          <w:sz w:val="24"/>
        </w:rPr>
      </w:pPr>
      <w:r>
        <w:rPr>
          <w:rFonts w:hint="eastAsia" w:ascii="宋体" w:hAnsi="宋体" w:cs="宋体"/>
          <w:sz w:val="24"/>
        </w:rPr>
        <w:t>3.构建满足国家卫健委“三级医院评审标准（2022年版）”中第二部分“医疗服务能力与质量安全监测数据”中的支撑体系，助力医院三甲复评工作推进。以三甲复评为抓手不断提升自身医疗能力；加强领导、真抓实干，进一步加强医院管理及诊疗工作。</w:t>
      </w:r>
    </w:p>
    <w:p>
      <w:pPr>
        <w:pStyle w:val="139"/>
        <w:spacing w:line="360" w:lineRule="auto"/>
        <w:ind w:firstLine="480"/>
        <w:rPr>
          <w:rFonts w:hAnsi="宋体"/>
          <w:sz w:val="24"/>
          <w:szCs w:val="24"/>
        </w:rPr>
      </w:pPr>
      <w:r>
        <w:rPr>
          <w:rFonts w:hint="eastAsia" w:hAnsi="宋体"/>
          <w:sz w:val="24"/>
          <w:szCs w:val="24"/>
        </w:rPr>
        <w:t>通过建设及服务，在构建医院高质量发展决策分析平台的过程中，提升数据治理能力，大同数据壁垒，全面提升医院信息化水平以及对信息化产品的研发能力，从而更好更全面的满足医院管理、职能科室、临床上对信息的需求。</w:t>
      </w:r>
    </w:p>
    <w:p>
      <w:pPr>
        <w:pStyle w:val="137"/>
        <w:spacing w:line="360" w:lineRule="auto"/>
        <w:ind w:firstLine="420"/>
        <w:rPr>
          <w:rFonts w:ascii="宋体" w:hAnsi="宋体" w:cs="Arial"/>
          <w:b/>
          <w:sz w:val="24"/>
        </w:rPr>
      </w:pPr>
      <w:r>
        <w:rPr>
          <w:rFonts w:hint="eastAsia" w:ascii="宋体" w:hAnsi="宋体" w:cs="Arial"/>
          <w:b/>
          <w:sz w:val="24"/>
        </w:rPr>
        <w:t>三、标准规范</w:t>
      </w:r>
    </w:p>
    <w:p>
      <w:pPr>
        <w:pStyle w:val="137"/>
        <w:spacing w:line="360" w:lineRule="auto"/>
        <w:ind w:firstLine="480"/>
        <w:rPr>
          <w:rFonts w:ascii="宋体" w:hAnsi="宋体" w:cs="宋体"/>
          <w:sz w:val="24"/>
        </w:rPr>
      </w:pPr>
      <w:r>
        <w:rPr>
          <w:rFonts w:hint="eastAsia" w:ascii="宋体" w:hAnsi="宋体" w:cs="宋体"/>
          <w:sz w:val="24"/>
        </w:rPr>
        <w:t>随着国家先后印发的《公立医院高质量发展评价指标（试行）操作手册（2022版）的通知》、《国家三级公立医院绩效考核操作手册（2023版）的通知》、《三级医院评审标准（2022年版）》、《关于印发公立医院高质量发展促进行动（2021-2025年）的通知》、《国务院办公厅关于推动公立医院高质量发展的意见》、《国家卫生健康委办公厅关于印发公立医院高质量发展评价指标（试行）操作手册（2022版）的通知》等一系列政策要求，紧密围绕公立医院高质量发展要求进行设计，并与三级公立医院绩效考核等工作有机结合，按照指标精炼、可操作、可衡量的原则，制定了党建引领、能力提升、结构优化、创新增效、文化聚力等五个方面的指标。</w:t>
      </w:r>
    </w:p>
    <w:p>
      <w:pPr>
        <w:pStyle w:val="137"/>
        <w:spacing w:line="360" w:lineRule="auto"/>
        <w:ind w:firstLine="480"/>
        <w:rPr>
          <w:rFonts w:ascii="宋体" w:hAnsi="宋体" w:cs="宋体"/>
          <w:sz w:val="24"/>
        </w:rPr>
      </w:pPr>
      <w:r>
        <w:rPr>
          <w:rFonts w:hint="eastAsia" w:ascii="宋体" w:hAnsi="宋体" w:cs="宋体"/>
          <w:sz w:val="24"/>
        </w:rPr>
        <w:t>本项目在建设过程中，遵循相关国际国内的行业标准，符合医疗业务要求，在本项目中应进一步结合医院的管理要求和环境特点进行本地化。</w:t>
      </w:r>
    </w:p>
    <w:p>
      <w:pPr>
        <w:pStyle w:val="137"/>
        <w:spacing w:line="360" w:lineRule="auto"/>
        <w:ind w:firstLine="480"/>
        <w:rPr>
          <w:rFonts w:ascii="宋体" w:hAnsi="宋体" w:cs="宋体"/>
          <w:sz w:val="24"/>
        </w:rPr>
      </w:pPr>
      <w:r>
        <w:rPr>
          <w:rFonts w:hint="eastAsia" w:ascii="宋体" w:hAnsi="宋体" w:cs="宋体"/>
          <w:sz w:val="24"/>
        </w:rPr>
        <w:t xml:space="preserve">1．WS/T 447-2014 基于电子病历的医院信息平台技术规范 </w:t>
      </w:r>
    </w:p>
    <w:p>
      <w:pPr>
        <w:pStyle w:val="137"/>
        <w:spacing w:line="360" w:lineRule="auto"/>
        <w:ind w:firstLine="480"/>
        <w:rPr>
          <w:rFonts w:ascii="宋体" w:hAnsi="宋体" w:cs="宋体"/>
          <w:sz w:val="24"/>
        </w:rPr>
      </w:pPr>
      <w:r>
        <w:rPr>
          <w:rFonts w:hint="eastAsia" w:ascii="宋体" w:hAnsi="宋体" w:cs="宋体"/>
          <w:sz w:val="24"/>
        </w:rPr>
        <w:t xml:space="preserve">2．GB/T 14396-2016 疾病分类与代码 </w:t>
      </w:r>
    </w:p>
    <w:p>
      <w:pPr>
        <w:pStyle w:val="137"/>
        <w:spacing w:line="360" w:lineRule="auto"/>
        <w:ind w:firstLine="480"/>
        <w:rPr>
          <w:rFonts w:ascii="宋体" w:hAnsi="宋体" w:cs="宋体"/>
          <w:sz w:val="24"/>
        </w:rPr>
      </w:pPr>
      <w:r>
        <w:rPr>
          <w:rFonts w:hint="eastAsia" w:ascii="宋体" w:hAnsi="宋体" w:cs="宋体"/>
          <w:sz w:val="24"/>
        </w:rPr>
        <w:t xml:space="preserve">3．WS/T 482-2016 卫生信息共享文档编制规范 </w:t>
      </w:r>
    </w:p>
    <w:p>
      <w:pPr>
        <w:pStyle w:val="137"/>
        <w:spacing w:line="360" w:lineRule="auto"/>
        <w:ind w:firstLine="480"/>
        <w:rPr>
          <w:rFonts w:ascii="宋体" w:hAnsi="宋体" w:cs="宋体"/>
          <w:sz w:val="24"/>
        </w:rPr>
      </w:pPr>
      <w:r>
        <w:rPr>
          <w:rFonts w:hint="eastAsia" w:ascii="宋体" w:hAnsi="宋体" w:cs="宋体"/>
          <w:sz w:val="24"/>
        </w:rPr>
        <w:t xml:space="preserve">4．WS/T 447-2014 基于电子病历的医院信息平台技术规范 </w:t>
      </w:r>
    </w:p>
    <w:p>
      <w:pPr>
        <w:pStyle w:val="137"/>
        <w:spacing w:line="360" w:lineRule="auto"/>
        <w:ind w:firstLine="480"/>
        <w:rPr>
          <w:rFonts w:ascii="宋体" w:hAnsi="宋体" w:cs="宋体"/>
          <w:sz w:val="24"/>
        </w:rPr>
      </w:pPr>
      <w:r>
        <w:rPr>
          <w:rFonts w:hint="eastAsia" w:ascii="宋体" w:hAnsi="宋体" w:cs="宋体"/>
          <w:sz w:val="24"/>
        </w:rPr>
        <w:t xml:space="preserve">5．WS/T 537-2017 居民健康卡数据集 </w:t>
      </w:r>
    </w:p>
    <w:p>
      <w:pPr>
        <w:pStyle w:val="137"/>
        <w:spacing w:line="360" w:lineRule="auto"/>
        <w:ind w:firstLine="480"/>
        <w:rPr>
          <w:rFonts w:ascii="宋体" w:hAnsi="宋体" w:cs="宋体"/>
          <w:sz w:val="24"/>
        </w:rPr>
      </w:pPr>
      <w:r>
        <w:rPr>
          <w:rFonts w:hint="eastAsia" w:ascii="宋体" w:hAnsi="宋体" w:cs="宋体"/>
          <w:sz w:val="24"/>
        </w:rPr>
        <w:t xml:space="preserve">6．T/CHIA 001-2017 手术、操作分类与代码 </w:t>
      </w:r>
    </w:p>
    <w:p>
      <w:pPr>
        <w:pStyle w:val="137"/>
        <w:spacing w:line="360" w:lineRule="auto"/>
        <w:ind w:firstLine="480"/>
        <w:rPr>
          <w:rFonts w:ascii="宋体" w:hAnsi="宋体" w:cs="宋体"/>
          <w:sz w:val="24"/>
        </w:rPr>
      </w:pPr>
      <w:r>
        <w:rPr>
          <w:rFonts w:hint="eastAsia" w:ascii="宋体" w:hAnsi="宋体" w:cs="宋体"/>
          <w:sz w:val="24"/>
        </w:rPr>
        <w:t xml:space="preserve">7．医院信息平台基本交互规范 </w:t>
      </w:r>
    </w:p>
    <w:p>
      <w:pPr>
        <w:pStyle w:val="137"/>
        <w:spacing w:line="360" w:lineRule="auto"/>
        <w:ind w:firstLine="480"/>
        <w:rPr>
          <w:rFonts w:ascii="宋体" w:hAnsi="宋体" w:cs="宋体"/>
          <w:sz w:val="24"/>
        </w:rPr>
      </w:pPr>
      <w:r>
        <w:rPr>
          <w:rFonts w:hint="eastAsia" w:ascii="宋体" w:hAnsi="宋体" w:cs="宋体"/>
          <w:sz w:val="24"/>
        </w:rPr>
        <w:t xml:space="preserve">8．医院信息平台应用功能指引 </w:t>
      </w:r>
    </w:p>
    <w:p>
      <w:pPr>
        <w:pStyle w:val="137"/>
        <w:spacing w:line="360" w:lineRule="auto"/>
        <w:ind w:firstLine="480"/>
        <w:rPr>
          <w:rFonts w:ascii="宋体" w:hAnsi="宋体" w:cs="宋体"/>
          <w:sz w:val="24"/>
        </w:rPr>
      </w:pPr>
      <w:r>
        <w:rPr>
          <w:rFonts w:hint="eastAsia" w:ascii="宋体" w:hAnsi="宋体" w:cs="宋体"/>
          <w:sz w:val="24"/>
        </w:rPr>
        <w:t xml:space="preserve">9．全国医院信息化建设标准与规范（试行） </w:t>
      </w:r>
    </w:p>
    <w:p>
      <w:pPr>
        <w:pStyle w:val="137"/>
        <w:spacing w:line="360" w:lineRule="auto"/>
        <w:ind w:firstLine="480"/>
        <w:rPr>
          <w:rFonts w:ascii="宋体" w:hAnsi="宋体" w:cs="宋体"/>
          <w:sz w:val="24"/>
        </w:rPr>
      </w:pPr>
      <w:r>
        <w:rPr>
          <w:rFonts w:hint="eastAsia" w:ascii="宋体" w:hAnsi="宋体" w:cs="宋体"/>
          <w:sz w:val="24"/>
        </w:rPr>
        <w:t xml:space="preserve">10．药品采购使用管理分类代码与标识码 </w:t>
      </w:r>
    </w:p>
    <w:p>
      <w:pPr>
        <w:pStyle w:val="137"/>
        <w:spacing w:line="360" w:lineRule="auto"/>
        <w:ind w:firstLine="480"/>
        <w:rPr>
          <w:rFonts w:ascii="宋体" w:hAnsi="宋体" w:cs="宋体"/>
          <w:sz w:val="24"/>
        </w:rPr>
      </w:pPr>
      <w:r>
        <w:rPr>
          <w:rFonts w:hint="eastAsia" w:ascii="宋体" w:hAnsi="宋体" w:cs="宋体"/>
          <w:sz w:val="24"/>
        </w:rPr>
        <w:t xml:space="preserve">11．医用耗材采购使用管理分类代码与标识码  </w:t>
      </w:r>
    </w:p>
    <w:p>
      <w:pPr>
        <w:pStyle w:val="137"/>
        <w:spacing w:line="360" w:lineRule="auto"/>
        <w:ind w:firstLine="480"/>
        <w:rPr>
          <w:rFonts w:ascii="宋体" w:hAnsi="宋体" w:cs="宋体"/>
          <w:sz w:val="24"/>
        </w:rPr>
      </w:pPr>
      <w:r>
        <w:rPr>
          <w:rFonts w:hint="eastAsia" w:ascii="宋体" w:hAnsi="宋体" w:cs="宋体"/>
          <w:sz w:val="24"/>
        </w:rPr>
        <w:t>12．《公立医院高质量发展评价指标（试行）操作手册（2022版）》（国卫办医函〔2022〕335号）</w:t>
      </w:r>
    </w:p>
    <w:p>
      <w:pPr>
        <w:pStyle w:val="137"/>
        <w:spacing w:line="360" w:lineRule="auto"/>
        <w:ind w:firstLine="480"/>
        <w:rPr>
          <w:rFonts w:ascii="宋体" w:hAnsi="宋体" w:cs="宋体"/>
          <w:sz w:val="24"/>
        </w:rPr>
      </w:pPr>
      <w:r>
        <w:rPr>
          <w:rFonts w:hint="eastAsia" w:ascii="宋体" w:hAnsi="宋体" w:cs="宋体"/>
          <w:sz w:val="24"/>
        </w:rPr>
        <w:t xml:space="preserve">13．《国家三级公立医院绩效考核操作手册（2023版）》（国卫办医政函〔2023〕49号） </w:t>
      </w:r>
    </w:p>
    <w:p>
      <w:pPr>
        <w:pStyle w:val="137"/>
        <w:spacing w:line="360" w:lineRule="auto"/>
        <w:ind w:firstLine="480"/>
        <w:rPr>
          <w:rFonts w:ascii="宋体" w:hAnsi="宋体" w:cs="宋体"/>
          <w:sz w:val="24"/>
        </w:rPr>
      </w:pPr>
      <w:r>
        <w:rPr>
          <w:rFonts w:hint="eastAsia" w:ascii="宋体" w:hAnsi="宋体" w:cs="宋体"/>
          <w:sz w:val="24"/>
        </w:rPr>
        <w:t>14．《三级医院评审标准（2022年版）实施细则》（国卫医政发〔2022〕31号）</w:t>
      </w:r>
    </w:p>
    <w:p>
      <w:pPr>
        <w:pStyle w:val="137"/>
        <w:spacing w:line="360" w:lineRule="auto"/>
        <w:ind w:firstLine="480"/>
        <w:rPr>
          <w:rFonts w:ascii="宋体" w:hAnsi="宋体" w:cs="宋体"/>
          <w:sz w:val="24"/>
        </w:rPr>
      </w:pPr>
      <w:r>
        <w:rPr>
          <w:rFonts w:hint="eastAsia" w:ascii="宋体" w:hAnsi="宋体" w:cs="宋体"/>
          <w:sz w:val="24"/>
        </w:rPr>
        <w:t>15．《公立医院高质量发展促进行动（2021-2025年）》（国卫医发〔2021〕27号）</w:t>
      </w:r>
    </w:p>
    <w:p>
      <w:pPr>
        <w:pStyle w:val="137"/>
        <w:spacing w:line="360" w:lineRule="auto"/>
        <w:ind w:firstLine="480"/>
        <w:rPr>
          <w:rFonts w:ascii="宋体" w:hAnsi="宋体" w:cs="宋体"/>
          <w:sz w:val="24"/>
        </w:rPr>
      </w:pPr>
      <w:r>
        <w:rPr>
          <w:rFonts w:hint="eastAsia" w:ascii="宋体" w:hAnsi="宋体" w:cs="宋体"/>
          <w:sz w:val="24"/>
        </w:rPr>
        <w:t>16．《国务院办公厅关于推动公立医院高质量发展的意见》（国办发〔2021〕18号）</w:t>
      </w:r>
    </w:p>
    <w:p>
      <w:pPr>
        <w:pStyle w:val="138"/>
        <w:rPr>
          <w:rFonts w:ascii="宋体" w:hAnsi="宋体"/>
        </w:rPr>
      </w:pPr>
    </w:p>
    <w:p>
      <w:pPr>
        <w:pStyle w:val="137"/>
        <w:spacing w:line="360" w:lineRule="auto"/>
        <w:ind w:left="481"/>
        <w:rPr>
          <w:rFonts w:ascii="宋体" w:hAnsi="宋体" w:cs="Arial"/>
          <w:b/>
          <w:sz w:val="24"/>
        </w:rPr>
      </w:pPr>
    </w:p>
    <w:p>
      <w:pPr>
        <w:pStyle w:val="143"/>
        <w:ind w:left="481"/>
        <w:rPr>
          <w:rFonts w:ascii="宋体" w:hAnsi="宋体" w:eastAsia="宋体"/>
          <w:sz w:val="24"/>
          <w:szCs w:val="24"/>
        </w:rPr>
      </w:pPr>
      <w:r>
        <w:rPr>
          <w:rFonts w:hint="eastAsia" w:ascii="宋体" w:hAnsi="宋体" w:eastAsia="宋体"/>
          <w:sz w:val="24"/>
          <w:szCs w:val="24"/>
        </w:rPr>
        <w:t>四、系统功能要求</w:t>
      </w:r>
    </w:p>
    <w:p>
      <w:pPr>
        <w:pStyle w:val="143"/>
        <w:numPr>
          <w:ilvl w:val="0"/>
          <w:numId w:val="6"/>
        </w:numPr>
        <w:ind w:left="481"/>
        <w:rPr>
          <w:rFonts w:ascii="宋体" w:hAnsi="宋体" w:eastAsia="宋体"/>
          <w:sz w:val="24"/>
          <w:szCs w:val="24"/>
        </w:rPr>
      </w:pPr>
      <w:r>
        <w:rPr>
          <w:rFonts w:hint="eastAsia" w:ascii="宋体" w:hAnsi="宋体" w:eastAsia="宋体"/>
          <w:sz w:val="24"/>
          <w:szCs w:val="24"/>
        </w:rPr>
        <w:t>建设清单</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139"/>
        <w:gridCol w:w="5428"/>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pct"/>
            <w:vAlign w:val="center"/>
          </w:tcPr>
          <w:p>
            <w:pPr>
              <w:pStyle w:val="137"/>
              <w:jc w:val="center"/>
              <w:rPr>
                <w:rFonts w:ascii="宋体" w:hAnsi="宋体" w:cs="仿宋"/>
              </w:rPr>
            </w:pPr>
            <w:r>
              <w:rPr>
                <w:rFonts w:hint="eastAsia" w:ascii="宋体" w:hAnsi="宋体" w:cs="仿宋"/>
              </w:rPr>
              <w:t>序号</w:t>
            </w:r>
          </w:p>
        </w:tc>
        <w:tc>
          <w:tcPr>
            <w:tcW w:w="1111" w:type="pct"/>
            <w:vAlign w:val="center"/>
          </w:tcPr>
          <w:p>
            <w:pPr>
              <w:pStyle w:val="137"/>
              <w:ind w:firstLine="560"/>
              <w:jc w:val="center"/>
              <w:rPr>
                <w:rFonts w:ascii="宋体" w:hAnsi="宋体" w:cs="仿宋"/>
              </w:rPr>
            </w:pPr>
            <w:r>
              <w:rPr>
                <w:rFonts w:hint="eastAsia" w:ascii="宋体" w:hAnsi="宋体" w:cs="仿宋"/>
              </w:rPr>
              <w:t>内容</w:t>
            </w:r>
          </w:p>
        </w:tc>
        <w:tc>
          <w:tcPr>
            <w:tcW w:w="2819" w:type="pct"/>
            <w:vAlign w:val="center"/>
          </w:tcPr>
          <w:p>
            <w:pPr>
              <w:pStyle w:val="137"/>
              <w:ind w:firstLine="560"/>
              <w:jc w:val="center"/>
              <w:rPr>
                <w:rFonts w:ascii="宋体" w:hAnsi="宋体" w:cs="仿宋"/>
              </w:rPr>
            </w:pPr>
            <w:r>
              <w:rPr>
                <w:rFonts w:hint="eastAsia" w:ascii="宋体" w:hAnsi="宋体" w:cs="仿宋"/>
              </w:rPr>
              <w:t>模块</w:t>
            </w:r>
          </w:p>
        </w:tc>
        <w:tc>
          <w:tcPr>
            <w:tcW w:w="560" w:type="pct"/>
            <w:vAlign w:val="center"/>
          </w:tcPr>
          <w:p>
            <w:pPr>
              <w:pStyle w:val="137"/>
              <w:jc w:val="center"/>
              <w:rPr>
                <w:rFonts w:ascii="宋体" w:hAnsi="宋体" w:cs="仿宋"/>
              </w:rPr>
            </w:pPr>
            <w:r>
              <w:rPr>
                <w:rFonts w:hint="eastAsia" w:ascii="宋体" w:hAnsi="宋体" w:cs="仿宋"/>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pct"/>
            <w:vAlign w:val="center"/>
          </w:tcPr>
          <w:p>
            <w:pPr>
              <w:pStyle w:val="137"/>
              <w:jc w:val="center"/>
              <w:rPr>
                <w:rFonts w:ascii="宋体" w:hAnsi="宋体" w:cs="仿宋"/>
              </w:rPr>
            </w:pPr>
            <w:r>
              <w:rPr>
                <w:rFonts w:ascii="宋体" w:hAnsi="宋体" w:cs="仿宋"/>
              </w:rPr>
              <w:t>1</w:t>
            </w:r>
          </w:p>
        </w:tc>
        <w:tc>
          <w:tcPr>
            <w:tcW w:w="1111" w:type="pct"/>
            <w:vAlign w:val="center"/>
          </w:tcPr>
          <w:p>
            <w:pPr>
              <w:pStyle w:val="137"/>
              <w:jc w:val="center"/>
              <w:rPr>
                <w:rFonts w:ascii="宋体" w:hAnsi="宋体" w:cs="仿宋"/>
              </w:rPr>
            </w:pPr>
            <w:r>
              <w:rPr>
                <w:rFonts w:hint="eastAsia" w:ascii="宋体" w:hAnsi="宋体" w:cs="仿宋"/>
              </w:rPr>
              <w:t>高质量发展决策分析平台建设</w:t>
            </w:r>
          </w:p>
        </w:tc>
        <w:tc>
          <w:tcPr>
            <w:tcW w:w="2819" w:type="pct"/>
            <w:vAlign w:val="center"/>
          </w:tcPr>
          <w:p>
            <w:pPr>
              <w:pStyle w:val="137"/>
              <w:jc w:val="center"/>
              <w:rPr>
                <w:rFonts w:ascii="宋体" w:hAnsi="宋体" w:cs="仿宋"/>
              </w:rPr>
            </w:pPr>
            <w:r>
              <w:rPr>
                <w:rFonts w:hint="eastAsia" w:ascii="宋体" w:hAnsi="宋体" w:cs="仿宋"/>
              </w:rPr>
              <w:t>一体化决策分析平台</w:t>
            </w:r>
          </w:p>
        </w:tc>
        <w:tc>
          <w:tcPr>
            <w:tcW w:w="560" w:type="pct"/>
            <w:vAlign w:val="center"/>
          </w:tcPr>
          <w:p>
            <w:pPr>
              <w:pStyle w:val="137"/>
              <w:jc w:val="center"/>
              <w:rPr>
                <w:rFonts w:ascii="宋体" w:hAnsi="宋体" w:cs="仿宋"/>
              </w:rPr>
            </w:pPr>
            <w:r>
              <w:rPr>
                <w:rFonts w:hint="eastAsia" w:ascii="宋体" w:hAnsi="宋体" w:cs="仿宋"/>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pct"/>
            <w:vAlign w:val="center"/>
          </w:tcPr>
          <w:p>
            <w:pPr>
              <w:pStyle w:val="137"/>
              <w:jc w:val="center"/>
              <w:rPr>
                <w:rFonts w:ascii="宋体" w:hAnsi="宋体" w:cs="仿宋"/>
              </w:rPr>
            </w:pPr>
            <w:r>
              <w:rPr>
                <w:rFonts w:ascii="宋体" w:hAnsi="宋体" w:cs="仿宋"/>
              </w:rPr>
              <w:t>2</w:t>
            </w:r>
          </w:p>
        </w:tc>
        <w:tc>
          <w:tcPr>
            <w:tcW w:w="1111" w:type="pct"/>
            <w:vMerge w:val="restart"/>
            <w:vAlign w:val="center"/>
          </w:tcPr>
          <w:p>
            <w:pPr>
              <w:pStyle w:val="137"/>
              <w:jc w:val="center"/>
              <w:rPr>
                <w:rFonts w:ascii="宋体" w:hAnsi="宋体" w:cs="仿宋"/>
              </w:rPr>
            </w:pPr>
            <w:r>
              <w:rPr>
                <w:rFonts w:hint="eastAsia" w:ascii="宋体" w:hAnsi="宋体" w:cs="仿宋"/>
              </w:rPr>
              <w:t>数据中心建设</w:t>
            </w:r>
          </w:p>
        </w:tc>
        <w:tc>
          <w:tcPr>
            <w:tcW w:w="2819" w:type="pct"/>
            <w:vAlign w:val="center"/>
          </w:tcPr>
          <w:p>
            <w:pPr>
              <w:pStyle w:val="137"/>
              <w:jc w:val="center"/>
              <w:rPr>
                <w:rFonts w:ascii="宋体" w:hAnsi="宋体" w:cs="仿宋"/>
              </w:rPr>
            </w:pPr>
            <w:r>
              <w:rPr>
                <w:rFonts w:hint="eastAsia" w:ascii="宋体" w:hAnsi="宋体" w:cs="仿宋"/>
              </w:rPr>
              <w:t>数据中心中间件(ETL工具)</w:t>
            </w:r>
          </w:p>
        </w:tc>
        <w:tc>
          <w:tcPr>
            <w:tcW w:w="560" w:type="pct"/>
            <w:vAlign w:val="center"/>
          </w:tcPr>
          <w:p>
            <w:pPr>
              <w:pStyle w:val="137"/>
              <w:jc w:val="center"/>
              <w:rPr>
                <w:rFonts w:ascii="宋体" w:hAnsi="宋体" w:cs="仿宋"/>
              </w:rPr>
            </w:pPr>
            <w:r>
              <w:rPr>
                <w:rFonts w:hint="eastAsia" w:ascii="宋体" w:hAnsi="宋体" w:cs="仿宋"/>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pct"/>
            <w:vAlign w:val="center"/>
          </w:tcPr>
          <w:p>
            <w:pPr>
              <w:pStyle w:val="137"/>
              <w:jc w:val="center"/>
              <w:rPr>
                <w:rFonts w:ascii="宋体" w:hAnsi="宋体" w:cs="仿宋"/>
              </w:rPr>
            </w:pPr>
            <w:r>
              <w:rPr>
                <w:rFonts w:hint="eastAsia" w:ascii="宋体" w:hAnsi="宋体" w:cs="仿宋"/>
              </w:rPr>
              <w:t>3</w:t>
            </w:r>
          </w:p>
        </w:tc>
        <w:tc>
          <w:tcPr>
            <w:tcW w:w="1111" w:type="pct"/>
            <w:vMerge w:val="continue"/>
            <w:vAlign w:val="center"/>
          </w:tcPr>
          <w:p>
            <w:pPr>
              <w:pStyle w:val="137"/>
              <w:jc w:val="center"/>
              <w:rPr>
                <w:rFonts w:ascii="宋体" w:hAnsi="宋体" w:cs="仿宋"/>
              </w:rPr>
            </w:pPr>
          </w:p>
        </w:tc>
        <w:tc>
          <w:tcPr>
            <w:tcW w:w="2819" w:type="pct"/>
            <w:vAlign w:val="center"/>
          </w:tcPr>
          <w:p>
            <w:pPr>
              <w:pStyle w:val="137"/>
              <w:jc w:val="center"/>
              <w:rPr>
                <w:rFonts w:ascii="宋体" w:hAnsi="宋体" w:cs="仿宋"/>
              </w:rPr>
            </w:pPr>
            <w:r>
              <w:rPr>
                <w:rFonts w:hint="eastAsia" w:ascii="宋体" w:hAnsi="宋体" w:cs="仿宋"/>
              </w:rPr>
              <w:t>运营数据中心</w:t>
            </w:r>
          </w:p>
        </w:tc>
        <w:tc>
          <w:tcPr>
            <w:tcW w:w="560" w:type="pct"/>
            <w:vAlign w:val="center"/>
          </w:tcPr>
          <w:p>
            <w:pPr>
              <w:pStyle w:val="137"/>
              <w:jc w:val="center"/>
              <w:rPr>
                <w:rFonts w:ascii="宋体" w:hAnsi="宋体" w:cs="仿宋"/>
              </w:rPr>
            </w:pPr>
            <w:r>
              <w:rPr>
                <w:rFonts w:hint="eastAsia" w:ascii="宋体" w:hAnsi="宋体" w:cs="仿宋"/>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pct"/>
            <w:vAlign w:val="center"/>
          </w:tcPr>
          <w:p>
            <w:pPr>
              <w:pStyle w:val="137"/>
              <w:jc w:val="center"/>
              <w:rPr>
                <w:rFonts w:ascii="宋体" w:hAnsi="宋体" w:cs="仿宋"/>
              </w:rPr>
            </w:pPr>
            <w:r>
              <w:rPr>
                <w:rFonts w:hint="eastAsia" w:ascii="宋体" w:hAnsi="宋体" w:cs="仿宋"/>
              </w:rPr>
              <w:t>4</w:t>
            </w:r>
          </w:p>
        </w:tc>
        <w:tc>
          <w:tcPr>
            <w:tcW w:w="1111" w:type="pct"/>
            <w:vMerge w:val="restart"/>
            <w:vAlign w:val="center"/>
          </w:tcPr>
          <w:p>
            <w:pPr>
              <w:pStyle w:val="137"/>
              <w:jc w:val="center"/>
              <w:rPr>
                <w:rFonts w:ascii="宋体" w:hAnsi="宋体" w:cs="仿宋"/>
              </w:rPr>
            </w:pPr>
            <w:r>
              <w:rPr>
                <w:rFonts w:hint="eastAsia" w:ascii="宋体" w:hAnsi="宋体" w:cs="仿宋"/>
              </w:rPr>
              <w:t>数据应用支撑</w:t>
            </w:r>
          </w:p>
        </w:tc>
        <w:tc>
          <w:tcPr>
            <w:tcW w:w="2819" w:type="pct"/>
            <w:vAlign w:val="center"/>
          </w:tcPr>
          <w:p>
            <w:pPr>
              <w:pStyle w:val="137"/>
              <w:jc w:val="center"/>
              <w:rPr>
                <w:rFonts w:ascii="宋体" w:hAnsi="宋体" w:cs="仿宋"/>
              </w:rPr>
            </w:pPr>
            <w:r>
              <w:rPr>
                <w:rFonts w:hint="eastAsia" w:ascii="宋体" w:hAnsi="宋体" w:cs="仿宋"/>
              </w:rPr>
              <w:t>BI决策支持系统</w:t>
            </w:r>
          </w:p>
        </w:tc>
        <w:tc>
          <w:tcPr>
            <w:tcW w:w="560" w:type="pct"/>
            <w:vAlign w:val="center"/>
          </w:tcPr>
          <w:p>
            <w:pPr>
              <w:pStyle w:val="137"/>
              <w:jc w:val="center"/>
              <w:rPr>
                <w:rFonts w:ascii="宋体" w:hAnsi="宋体" w:cs="仿宋"/>
              </w:rPr>
            </w:pPr>
            <w:r>
              <w:rPr>
                <w:rFonts w:hint="eastAsia" w:ascii="宋体" w:hAnsi="宋体" w:cs="仿宋"/>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pct"/>
            <w:vAlign w:val="center"/>
          </w:tcPr>
          <w:p>
            <w:pPr>
              <w:pStyle w:val="137"/>
              <w:jc w:val="center"/>
              <w:rPr>
                <w:rFonts w:ascii="宋体" w:hAnsi="宋体" w:cs="仿宋"/>
              </w:rPr>
            </w:pPr>
            <w:r>
              <w:rPr>
                <w:rFonts w:hint="eastAsia" w:ascii="宋体" w:hAnsi="宋体" w:cs="仿宋"/>
              </w:rPr>
              <w:t>5</w:t>
            </w:r>
          </w:p>
        </w:tc>
        <w:tc>
          <w:tcPr>
            <w:tcW w:w="1111" w:type="pct"/>
            <w:vMerge w:val="continue"/>
            <w:vAlign w:val="center"/>
          </w:tcPr>
          <w:p>
            <w:pPr>
              <w:pStyle w:val="137"/>
              <w:jc w:val="center"/>
              <w:rPr>
                <w:rFonts w:ascii="宋体" w:hAnsi="宋体" w:cs="仿宋"/>
              </w:rPr>
            </w:pPr>
          </w:p>
        </w:tc>
        <w:tc>
          <w:tcPr>
            <w:tcW w:w="2819" w:type="pct"/>
            <w:vAlign w:val="center"/>
          </w:tcPr>
          <w:p>
            <w:pPr>
              <w:pStyle w:val="137"/>
              <w:jc w:val="center"/>
              <w:rPr>
                <w:rFonts w:ascii="宋体" w:hAnsi="宋体" w:cs="仿宋"/>
              </w:rPr>
            </w:pPr>
            <w:r>
              <w:rPr>
                <w:rFonts w:hint="eastAsia" w:ascii="宋体" w:hAnsi="宋体" w:cs="仿宋"/>
              </w:rPr>
              <w:t>运营数据分析支撑</w:t>
            </w:r>
          </w:p>
        </w:tc>
        <w:tc>
          <w:tcPr>
            <w:tcW w:w="560" w:type="pct"/>
            <w:vAlign w:val="center"/>
          </w:tcPr>
          <w:p>
            <w:pPr>
              <w:pStyle w:val="137"/>
              <w:jc w:val="center"/>
              <w:rPr>
                <w:rFonts w:ascii="宋体" w:hAnsi="宋体" w:cs="仿宋"/>
              </w:rPr>
            </w:pPr>
            <w:r>
              <w:rPr>
                <w:rFonts w:hint="eastAsia" w:ascii="宋体" w:hAnsi="宋体" w:cs="仿宋"/>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pct"/>
            <w:vAlign w:val="center"/>
          </w:tcPr>
          <w:p>
            <w:pPr>
              <w:pStyle w:val="137"/>
              <w:jc w:val="center"/>
              <w:rPr>
                <w:rFonts w:ascii="宋体" w:hAnsi="宋体" w:cs="仿宋"/>
              </w:rPr>
            </w:pPr>
            <w:r>
              <w:rPr>
                <w:rFonts w:hint="eastAsia" w:ascii="宋体" w:hAnsi="宋体" w:cs="仿宋"/>
              </w:rPr>
              <w:t>6</w:t>
            </w:r>
          </w:p>
        </w:tc>
        <w:tc>
          <w:tcPr>
            <w:tcW w:w="1111" w:type="pct"/>
            <w:vMerge w:val="continue"/>
            <w:vAlign w:val="center"/>
          </w:tcPr>
          <w:p>
            <w:pPr>
              <w:pStyle w:val="137"/>
              <w:jc w:val="center"/>
              <w:rPr>
                <w:rFonts w:ascii="宋体" w:hAnsi="宋体" w:cs="仿宋"/>
              </w:rPr>
            </w:pPr>
          </w:p>
        </w:tc>
        <w:tc>
          <w:tcPr>
            <w:tcW w:w="2819" w:type="pct"/>
            <w:vAlign w:val="center"/>
          </w:tcPr>
          <w:p>
            <w:pPr>
              <w:pStyle w:val="137"/>
              <w:jc w:val="center"/>
              <w:rPr>
                <w:rFonts w:ascii="宋体" w:hAnsi="宋体" w:cs="仿宋"/>
              </w:rPr>
            </w:pPr>
            <w:r>
              <w:rPr>
                <w:rFonts w:hint="eastAsia" w:ascii="宋体" w:hAnsi="宋体" w:cs="仿宋"/>
              </w:rPr>
              <w:t>三级公立医院绩效考核数据决策支撑</w:t>
            </w:r>
          </w:p>
        </w:tc>
        <w:tc>
          <w:tcPr>
            <w:tcW w:w="560" w:type="pct"/>
            <w:vAlign w:val="center"/>
          </w:tcPr>
          <w:p>
            <w:pPr>
              <w:pStyle w:val="137"/>
              <w:jc w:val="center"/>
              <w:rPr>
                <w:rFonts w:ascii="宋体" w:hAnsi="宋体" w:cs="仿宋"/>
              </w:rPr>
            </w:pPr>
            <w:r>
              <w:rPr>
                <w:rFonts w:hint="eastAsia" w:ascii="宋体" w:hAnsi="宋体" w:cs="仿宋"/>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pct"/>
            <w:vAlign w:val="center"/>
          </w:tcPr>
          <w:p>
            <w:pPr>
              <w:pStyle w:val="137"/>
              <w:jc w:val="center"/>
              <w:rPr>
                <w:rFonts w:ascii="宋体" w:hAnsi="宋体" w:cs="仿宋"/>
              </w:rPr>
            </w:pPr>
            <w:r>
              <w:rPr>
                <w:rFonts w:hint="eastAsia" w:ascii="宋体" w:hAnsi="宋体" w:cs="仿宋"/>
              </w:rPr>
              <w:t>7</w:t>
            </w:r>
          </w:p>
        </w:tc>
        <w:tc>
          <w:tcPr>
            <w:tcW w:w="1111" w:type="pct"/>
            <w:vMerge w:val="continue"/>
            <w:vAlign w:val="center"/>
          </w:tcPr>
          <w:p>
            <w:pPr>
              <w:pStyle w:val="137"/>
              <w:jc w:val="center"/>
              <w:rPr>
                <w:rFonts w:ascii="宋体" w:hAnsi="宋体" w:cs="仿宋"/>
              </w:rPr>
            </w:pPr>
          </w:p>
        </w:tc>
        <w:tc>
          <w:tcPr>
            <w:tcW w:w="2819" w:type="pct"/>
            <w:vAlign w:val="center"/>
          </w:tcPr>
          <w:p>
            <w:pPr>
              <w:pStyle w:val="137"/>
              <w:jc w:val="center"/>
              <w:rPr>
                <w:rFonts w:ascii="宋体" w:hAnsi="宋体" w:cs="仿宋"/>
              </w:rPr>
            </w:pPr>
            <w:r>
              <w:rPr>
                <w:rFonts w:hint="eastAsia" w:ascii="宋体" w:hAnsi="宋体" w:cs="仿宋"/>
              </w:rPr>
              <w:t>三级医院等级评审数据支撑</w:t>
            </w:r>
          </w:p>
        </w:tc>
        <w:tc>
          <w:tcPr>
            <w:tcW w:w="560" w:type="pct"/>
            <w:vAlign w:val="center"/>
          </w:tcPr>
          <w:p>
            <w:pPr>
              <w:pStyle w:val="137"/>
              <w:jc w:val="center"/>
              <w:rPr>
                <w:rFonts w:ascii="宋体" w:hAnsi="宋体" w:cs="仿宋"/>
              </w:rPr>
            </w:pPr>
            <w:r>
              <w:rPr>
                <w:rFonts w:hint="eastAsia" w:ascii="宋体" w:hAnsi="宋体" w:cs="仿宋"/>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0" w:type="pct"/>
            <w:vAlign w:val="center"/>
          </w:tcPr>
          <w:p>
            <w:pPr>
              <w:pStyle w:val="137"/>
              <w:jc w:val="center"/>
              <w:rPr>
                <w:rFonts w:ascii="宋体" w:hAnsi="宋体" w:cs="仿宋"/>
              </w:rPr>
            </w:pPr>
            <w:r>
              <w:rPr>
                <w:rFonts w:ascii="宋体" w:hAnsi="宋体" w:cs="仿宋"/>
              </w:rPr>
              <w:t>8</w:t>
            </w:r>
          </w:p>
        </w:tc>
        <w:tc>
          <w:tcPr>
            <w:tcW w:w="1111" w:type="pct"/>
            <w:vAlign w:val="center"/>
          </w:tcPr>
          <w:p>
            <w:pPr>
              <w:pStyle w:val="137"/>
              <w:jc w:val="center"/>
              <w:rPr>
                <w:rFonts w:ascii="宋体" w:hAnsi="宋体" w:cs="仿宋"/>
              </w:rPr>
            </w:pPr>
            <w:r>
              <w:rPr>
                <w:rFonts w:hint="eastAsia" w:ascii="宋体" w:hAnsi="宋体" w:cs="仿宋"/>
              </w:rPr>
              <w:t>接口集成</w:t>
            </w:r>
          </w:p>
        </w:tc>
        <w:tc>
          <w:tcPr>
            <w:tcW w:w="2819" w:type="pct"/>
            <w:vAlign w:val="center"/>
          </w:tcPr>
          <w:p>
            <w:pPr>
              <w:pStyle w:val="137"/>
              <w:jc w:val="center"/>
              <w:rPr>
                <w:rFonts w:ascii="宋体" w:hAnsi="宋体" w:cs="仿宋"/>
              </w:rPr>
            </w:pPr>
            <w:r>
              <w:rPr>
                <w:rFonts w:hint="eastAsia" w:ascii="宋体" w:hAnsi="宋体" w:cs="仿宋"/>
              </w:rPr>
              <w:t>第三方接口集成服务</w:t>
            </w:r>
          </w:p>
        </w:tc>
        <w:tc>
          <w:tcPr>
            <w:tcW w:w="560" w:type="pct"/>
            <w:vAlign w:val="center"/>
          </w:tcPr>
          <w:p>
            <w:pPr>
              <w:pStyle w:val="137"/>
              <w:jc w:val="center"/>
              <w:rPr>
                <w:rFonts w:ascii="宋体" w:hAnsi="宋体" w:cs="仿宋"/>
              </w:rPr>
            </w:pPr>
            <w:r>
              <w:rPr>
                <w:rFonts w:hint="eastAsia" w:ascii="宋体" w:hAnsi="宋体" w:cs="仿宋"/>
              </w:rPr>
              <w:t>1套</w:t>
            </w:r>
          </w:p>
        </w:tc>
      </w:tr>
    </w:tbl>
    <w:p>
      <w:pPr>
        <w:pStyle w:val="143"/>
        <w:numPr>
          <w:ilvl w:val="0"/>
          <w:numId w:val="6"/>
        </w:numPr>
        <w:ind w:left="481"/>
        <w:rPr>
          <w:rFonts w:ascii="宋体" w:hAnsi="宋体" w:eastAsia="宋体"/>
          <w:sz w:val="24"/>
          <w:szCs w:val="24"/>
        </w:rPr>
      </w:pPr>
      <w:r>
        <w:rPr>
          <w:rFonts w:hint="eastAsia" w:ascii="宋体" w:hAnsi="宋体" w:eastAsia="宋体"/>
          <w:sz w:val="24"/>
          <w:szCs w:val="24"/>
        </w:rPr>
        <w:t>技术要求</w:t>
      </w:r>
    </w:p>
    <w:p>
      <w:pPr>
        <w:pStyle w:val="137"/>
        <w:spacing w:line="360" w:lineRule="auto"/>
        <w:ind w:left="420" w:leftChars="200"/>
        <w:rPr>
          <w:rFonts w:ascii="宋体" w:hAnsi="宋体" w:cs="宋体"/>
          <w:b/>
          <w:bCs/>
          <w:sz w:val="24"/>
        </w:rPr>
      </w:pPr>
      <w:r>
        <w:rPr>
          <w:rFonts w:ascii="宋体" w:hAnsi="宋体" w:cs="宋体"/>
          <w:b/>
          <w:bCs/>
          <w:sz w:val="24"/>
        </w:rPr>
        <w:t>4</w:t>
      </w:r>
      <w:r>
        <w:rPr>
          <w:rFonts w:hint="eastAsia" w:ascii="宋体" w:hAnsi="宋体" w:cs="宋体"/>
          <w:b/>
          <w:bCs/>
          <w:sz w:val="24"/>
        </w:rPr>
        <w:t>.1高质量发展决策分析平台建设</w:t>
      </w:r>
    </w:p>
    <w:p>
      <w:pPr>
        <w:pStyle w:val="137"/>
        <w:spacing w:line="360" w:lineRule="auto"/>
        <w:rPr>
          <w:rFonts w:ascii="宋体" w:hAnsi="宋体" w:cs="宋体"/>
          <w:sz w:val="24"/>
        </w:rPr>
      </w:pPr>
      <w:r>
        <w:rPr>
          <w:rFonts w:hint="eastAsia" w:ascii="宋体" w:hAnsi="宋体" w:cs="宋体"/>
          <w:sz w:val="24"/>
        </w:rPr>
        <w:t xml:space="preserve">   高质量发展决策分析平台软件架构应</w:t>
      </w:r>
      <w:r>
        <w:rPr>
          <w:rFonts w:ascii="宋体" w:hAnsi="宋体"/>
          <w:sz w:val="24"/>
          <w:szCs w:val="28"/>
        </w:rPr>
        <w:t>保证平台支撑系统的高性能和高可用性</w:t>
      </w:r>
      <w:r>
        <w:rPr>
          <w:rFonts w:hint="eastAsia" w:ascii="宋体" w:hAnsi="宋体" w:cs="宋体"/>
          <w:sz w:val="24"/>
        </w:rPr>
        <w:t>。同时将医院不同的业务信息系统的数据通过ETL（数据抽取、转换、加载）技术汇聚形成全院级报表数据中心，建立一个完整统一的数据分析平台，为辅助决策支持提供更为全面、客观和准确的数据。整体要求如下：</w:t>
      </w:r>
    </w:p>
    <w:p>
      <w:pPr>
        <w:pStyle w:val="137"/>
        <w:numPr>
          <w:ilvl w:val="0"/>
          <w:numId w:val="7"/>
        </w:numPr>
        <w:spacing w:line="360" w:lineRule="auto"/>
        <w:rPr>
          <w:rFonts w:ascii="宋体" w:hAnsi="宋体" w:cs="宋体"/>
          <w:sz w:val="24"/>
        </w:rPr>
      </w:pPr>
      <w:r>
        <w:rPr>
          <w:rFonts w:hint="eastAsia" w:ascii="宋体" w:hAnsi="宋体" w:cs="宋体"/>
          <w:sz w:val="24"/>
        </w:rPr>
        <w:t>支持一体化安装升级部署：提供平台组件与应用一体化安装管理界面，支持程序自动打包下载、自动化部署，支持程序版本管理、失败回滚；</w:t>
      </w:r>
    </w:p>
    <w:p>
      <w:pPr>
        <w:pStyle w:val="137"/>
        <w:numPr>
          <w:ilvl w:val="0"/>
          <w:numId w:val="7"/>
        </w:numPr>
        <w:spacing w:line="360" w:lineRule="auto"/>
        <w:rPr>
          <w:rFonts w:ascii="宋体" w:hAnsi="宋体" w:cs="宋体"/>
          <w:sz w:val="24"/>
        </w:rPr>
      </w:pPr>
      <w:r>
        <w:rPr>
          <w:rFonts w:hint="eastAsia" w:ascii="宋体" w:hAnsi="宋体" w:cs="宋体"/>
          <w:sz w:val="24"/>
        </w:rPr>
        <w:t>支持高可用架构：支持软件负载均衡、容灾和集群，可动态增加机器部署实例；</w:t>
      </w:r>
    </w:p>
    <w:p>
      <w:pPr>
        <w:pStyle w:val="137"/>
        <w:spacing w:line="360" w:lineRule="auto"/>
        <w:ind w:left="420" w:leftChars="200"/>
        <w:rPr>
          <w:rFonts w:ascii="宋体" w:hAnsi="宋体" w:cs="宋体"/>
          <w:sz w:val="24"/>
        </w:rPr>
      </w:pPr>
      <w:r>
        <w:rPr>
          <w:rFonts w:ascii="宋体" w:hAnsi="宋体" w:cs="宋体"/>
          <w:sz w:val="24"/>
        </w:rPr>
        <w:t>4</w:t>
      </w:r>
      <w:r>
        <w:rPr>
          <w:rFonts w:hint="eastAsia" w:ascii="宋体" w:hAnsi="宋体" w:cs="宋体"/>
          <w:sz w:val="24"/>
        </w:rPr>
        <w:t>.1.1 一体化决策分析平台</w:t>
      </w:r>
    </w:p>
    <w:p>
      <w:pPr>
        <w:pStyle w:val="137"/>
        <w:spacing w:line="360" w:lineRule="auto"/>
        <w:ind w:firstLine="560"/>
        <w:rPr>
          <w:rFonts w:ascii="宋体" w:hAnsi="宋体" w:cs="宋体"/>
          <w:sz w:val="24"/>
        </w:rPr>
      </w:pPr>
      <w:r>
        <w:rPr>
          <w:rFonts w:hint="eastAsia" w:ascii="宋体" w:hAnsi="宋体" w:cs="宋体"/>
          <w:sz w:val="24"/>
        </w:rPr>
        <w:t>需提供自主可控、成熟的产品，最大程度降低集成成本，满足业务需求的同时支持二次开发和系统扩展。基于标准架构，提供 消息传输机制，借助 WebService、MQ 等传输协议，建立服务的动态松耦合机制， 实现各集成系统/应用之间的可管理。具体要求如下：</w:t>
      </w:r>
    </w:p>
    <w:p>
      <w:pPr>
        <w:pStyle w:val="137"/>
        <w:numPr>
          <w:ilvl w:val="0"/>
          <w:numId w:val="8"/>
        </w:numPr>
        <w:spacing w:line="360" w:lineRule="auto"/>
        <w:ind w:firstLine="560"/>
        <w:rPr>
          <w:rFonts w:ascii="宋体" w:hAnsi="宋体" w:cs="宋体"/>
          <w:sz w:val="24"/>
        </w:rPr>
      </w:pPr>
      <w:r>
        <w:rPr>
          <w:rFonts w:hint="eastAsia" w:ascii="宋体" w:hAnsi="宋体" w:cs="宋体"/>
          <w:sz w:val="24"/>
        </w:rPr>
        <w:t>安全要求：基础服务框架需满足自主研发、安全可靠、稳定易扩展的要求；</w:t>
      </w:r>
    </w:p>
    <w:p>
      <w:pPr>
        <w:pStyle w:val="137"/>
        <w:numPr>
          <w:ilvl w:val="0"/>
          <w:numId w:val="8"/>
        </w:numPr>
        <w:spacing w:line="360" w:lineRule="auto"/>
        <w:ind w:firstLine="560"/>
        <w:rPr>
          <w:rFonts w:ascii="宋体" w:hAnsi="宋体" w:cs="宋体"/>
          <w:sz w:val="24"/>
        </w:rPr>
      </w:pPr>
      <w:r>
        <w:rPr>
          <w:rFonts w:hint="eastAsia" w:ascii="宋体" w:hAnsi="宋体" w:cs="宋体"/>
          <w:sz w:val="24"/>
        </w:rPr>
        <w:t>基础服务功能需包括：服务管理、节点管理、日志管理、异常处理等；</w:t>
      </w:r>
    </w:p>
    <w:p>
      <w:pPr>
        <w:pStyle w:val="137"/>
        <w:numPr>
          <w:ilvl w:val="0"/>
          <w:numId w:val="8"/>
        </w:numPr>
        <w:spacing w:line="360" w:lineRule="auto"/>
        <w:ind w:firstLine="560"/>
        <w:rPr>
          <w:rFonts w:ascii="宋体" w:hAnsi="宋体" w:cs="宋体"/>
          <w:sz w:val="24"/>
        </w:rPr>
      </w:pPr>
      <w:r>
        <w:rPr>
          <w:rFonts w:hint="eastAsia" w:ascii="宋体" w:hAnsi="宋体" w:cs="宋体"/>
          <w:sz w:val="24"/>
        </w:rPr>
        <w:t>支持业务流程图形化自定义编排：支持图形化业务流程，支持图形化方式定义、注册、查看、管理流程信息，支持流程管理、流程配置和监控功能；支持消息的监控和报警；</w:t>
      </w:r>
    </w:p>
    <w:p>
      <w:pPr>
        <w:pStyle w:val="137"/>
        <w:numPr>
          <w:ilvl w:val="0"/>
          <w:numId w:val="8"/>
        </w:numPr>
        <w:spacing w:line="360" w:lineRule="auto"/>
        <w:ind w:firstLine="560"/>
        <w:rPr>
          <w:rFonts w:ascii="宋体" w:hAnsi="宋体" w:cs="宋体"/>
          <w:sz w:val="24"/>
        </w:rPr>
      </w:pPr>
      <w:r>
        <w:rPr>
          <w:rFonts w:hint="eastAsia" w:ascii="宋体" w:hAnsi="宋体" w:cs="宋体"/>
          <w:sz w:val="24"/>
        </w:rPr>
        <w:t>支持常见传输协议：支持HL7、FTP、HTTP、TCP、SSL、NIO、UDP等传输协议，支持通过JDBC等提供高速的消息持久化；</w:t>
      </w:r>
    </w:p>
    <w:p>
      <w:pPr>
        <w:pStyle w:val="137"/>
        <w:numPr>
          <w:ilvl w:val="0"/>
          <w:numId w:val="8"/>
        </w:numPr>
        <w:spacing w:line="360" w:lineRule="auto"/>
        <w:ind w:firstLine="560"/>
        <w:rPr>
          <w:rFonts w:ascii="宋体" w:hAnsi="宋体" w:cs="宋体"/>
          <w:sz w:val="24"/>
        </w:rPr>
      </w:pPr>
      <w:r>
        <w:rPr>
          <w:rFonts w:hint="eastAsia" w:ascii="宋体" w:hAnsi="宋体" w:cs="宋体"/>
          <w:sz w:val="24"/>
        </w:rPr>
        <w:t>支持数据适配：支持在数据层适配，提供数据层的转换映射功能；</w:t>
      </w:r>
    </w:p>
    <w:p>
      <w:pPr>
        <w:pStyle w:val="137"/>
        <w:numPr>
          <w:ilvl w:val="0"/>
          <w:numId w:val="8"/>
        </w:numPr>
        <w:spacing w:line="360" w:lineRule="auto"/>
        <w:ind w:firstLine="560"/>
        <w:rPr>
          <w:rFonts w:ascii="宋体" w:hAnsi="宋体" w:cs="宋体"/>
          <w:sz w:val="24"/>
        </w:rPr>
      </w:pPr>
      <w:r>
        <w:rPr>
          <w:rFonts w:hint="eastAsia" w:ascii="宋体" w:hAnsi="宋体" w:cs="宋体"/>
          <w:sz w:val="24"/>
        </w:rPr>
        <w:t>支持API接口集成：支持开放的API接口，可提供各种SDK包供厂商接入；</w:t>
      </w:r>
    </w:p>
    <w:p>
      <w:pPr>
        <w:pStyle w:val="137"/>
        <w:numPr>
          <w:ilvl w:val="0"/>
          <w:numId w:val="8"/>
        </w:numPr>
        <w:spacing w:line="360" w:lineRule="auto"/>
        <w:ind w:firstLine="560"/>
        <w:rPr>
          <w:rFonts w:ascii="宋体" w:hAnsi="宋体" w:cs="宋体"/>
          <w:sz w:val="24"/>
        </w:rPr>
      </w:pPr>
      <w:r>
        <w:rPr>
          <w:rFonts w:hint="eastAsia" w:ascii="宋体" w:hAnsi="宋体" w:cs="宋体"/>
          <w:sz w:val="24"/>
        </w:rPr>
        <w:t>支持轮询配置管理：支持轮询功能，并可灵活配置；</w:t>
      </w:r>
    </w:p>
    <w:p>
      <w:pPr>
        <w:pStyle w:val="137"/>
        <w:numPr>
          <w:ilvl w:val="0"/>
          <w:numId w:val="8"/>
        </w:numPr>
        <w:spacing w:line="360" w:lineRule="auto"/>
        <w:ind w:firstLine="560"/>
        <w:rPr>
          <w:rFonts w:ascii="宋体" w:hAnsi="宋体" w:cs="宋体"/>
          <w:sz w:val="24"/>
        </w:rPr>
      </w:pPr>
      <w:r>
        <w:rPr>
          <w:rFonts w:hint="eastAsia" w:ascii="宋体" w:hAnsi="宋体" w:cs="宋体"/>
          <w:sz w:val="24"/>
        </w:rPr>
        <w:t>支持日志监控存储：支持程序日志、安全日志、系统日志不同级别的日志存储，如人员的登录、使用操作、系统交互情况等；对平台交互数据进行实时存储，并提供交互日志查询和追溯功能界面；</w:t>
      </w:r>
    </w:p>
    <w:p>
      <w:pPr>
        <w:pStyle w:val="137"/>
        <w:numPr>
          <w:ilvl w:val="0"/>
          <w:numId w:val="8"/>
        </w:numPr>
        <w:spacing w:line="360" w:lineRule="auto"/>
        <w:ind w:firstLine="560"/>
        <w:rPr>
          <w:rFonts w:ascii="宋体" w:hAnsi="宋体" w:cs="宋体"/>
          <w:sz w:val="24"/>
        </w:rPr>
      </w:pPr>
      <w:r>
        <w:rPr>
          <w:rFonts w:hint="eastAsia" w:ascii="宋体" w:hAnsi="宋体" w:cs="宋体"/>
          <w:sz w:val="24"/>
        </w:rPr>
        <w:t>支持拓展能力：提供开放性体系架构及应用扩展能力。</w:t>
      </w:r>
    </w:p>
    <w:p>
      <w:pPr>
        <w:pStyle w:val="137"/>
        <w:spacing w:line="360" w:lineRule="auto"/>
        <w:ind w:firstLine="560"/>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．角色权限管理要求：支持添加、修改、删除系统角色，同时支持应用权限配置管理；</w:t>
      </w:r>
    </w:p>
    <w:p>
      <w:pPr>
        <w:pStyle w:val="137"/>
        <w:spacing w:line="360" w:lineRule="auto"/>
        <w:ind w:left="420" w:leftChars="200"/>
        <w:rPr>
          <w:rFonts w:ascii="宋体" w:hAnsi="宋体" w:cs="宋体"/>
          <w:b/>
          <w:bCs/>
          <w:sz w:val="24"/>
        </w:rPr>
      </w:pPr>
      <w:r>
        <w:rPr>
          <w:rFonts w:ascii="宋体" w:hAnsi="宋体" w:cs="宋体"/>
          <w:b/>
          <w:bCs/>
          <w:sz w:val="24"/>
        </w:rPr>
        <w:t>4</w:t>
      </w:r>
      <w:r>
        <w:rPr>
          <w:rFonts w:hint="eastAsia" w:ascii="宋体" w:hAnsi="宋体" w:cs="宋体"/>
          <w:b/>
          <w:bCs/>
          <w:sz w:val="24"/>
        </w:rPr>
        <w:t>.2数据中心建设</w:t>
      </w:r>
    </w:p>
    <w:p>
      <w:pPr>
        <w:pStyle w:val="137"/>
        <w:spacing w:line="360" w:lineRule="auto"/>
        <w:rPr>
          <w:rFonts w:ascii="宋体" w:hAnsi="宋体" w:cs="宋体"/>
          <w:sz w:val="24"/>
        </w:rPr>
      </w:pPr>
      <w:r>
        <w:rPr>
          <w:rFonts w:ascii="宋体" w:hAnsi="宋体" w:cs="宋体"/>
          <w:sz w:val="24"/>
        </w:rPr>
        <w:t>4</w:t>
      </w:r>
      <w:r>
        <w:rPr>
          <w:rFonts w:hint="eastAsia" w:ascii="宋体" w:hAnsi="宋体" w:cs="宋体"/>
          <w:sz w:val="24"/>
        </w:rPr>
        <w:t>.2.1数据中心中间件（ETL工具）</w:t>
      </w:r>
    </w:p>
    <w:p>
      <w:pPr>
        <w:pStyle w:val="137"/>
        <w:spacing w:line="360" w:lineRule="auto"/>
        <w:ind w:firstLine="560"/>
        <w:rPr>
          <w:rFonts w:ascii="宋体" w:hAnsi="宋体" w:cs="宋体"/>
          <w:sz w:val="24"/>
        </w:rPr>
      </w:pPr>
      <w:r>
        <w:rPr>
          <w:rFonts w:hint="eastAsia" w:ascii="宋体" w:hAnsi="宋体" w:cs="宋体"/>
          <w:sz w:val="24"/>
        </w:rPr>
        <w:t>需提供成熟、易操作、易上手的ETL中间件，保障完整、正确、及时的数据抽取工作。</w:t>
      </w:r>
    </w:p>
    <w:p>
      <w:pPr>
        <w:pStyle w:val="137"/>
        <w:spacing w:line="360" w:lineRule="auto"/>
        <w:ind w:firstLine="560"/>
        <w:rPr>
          <w:rFonts w:ascii="宋体" w:hAnsi="宋体" w:cs="宋体"/>
          <w:sz w:val="24"/>
        </w:rPr>
      </w:pPr>
      <w:r>
        <w:rPr>
          <w:rFonts w:hint="eastAsia" w:ascii="宋体" w:hAnsi="宋体" w:cs="宋体"/>
          <w:sz w:val="24"/>
        </w:rPr>
        <w:t>1．支持全图形化界面配置：提供无代码、可拖拽的抽取流程和数据处理规则设计界面。</w:t>
      </w:r>
    </w:p>
    <w:p>
      <w:pPr>
        <w:pStyle w:val="137"/>
        <w:spacing w:line="360" w:lineRule="auto"/>
        <w:ind w:firstLine="560"/>
        <w:rPr>
          <w:rFonts w:ascii="宋体" w:hAnsi="宋体" w:cs="宋体"/>
          <w:sz w:val="24"/>
        </w:rPr>
      </w:pPr>
      <w:r>
        <w:rPr>
          <w:rFonts w:hint="eastAsia" w:ascii="宋体" w:hAnsi="宋体" w:cs="宋体"/>
          <w:sz w:val="24"/>
        </w:rPr>
        <w:t>2．支持多种抽取策略：全量抽取、增量抽取、断点抽取等。增量抽取支持CDC技术。</w:t>
      </w:r>
    </w:p>
    <w:p>
      <w:pPr>
        <w:pStyle w:val="137"/>
        <w:spacing w:line="360" w:lineRule="auto"/>
        <w:ind w:firstLine="560"/>
        <w:rPr>
          <w:rFonts w:ascii="宋体" w:hAnsi="宋体" w:cs="宋体"/>
          <w:sz w:val="24"/>
        </w:rPr>
      </w:pPr>
      <w:r>
        <w:rPr>
          <w:rFonts w:hint="eastAsia" w:ascii="宋体" w:hAnsi="宋体" w:cs="宋体"/>
          <w:sz w:val="24"/>
        </w:rPr>
        <w:t>3．支持常见的数据源适配，包括：Oracle、DB2、SQL server、FTP、XML等。</w:t>
      </w:r>
    </w:p>
    <w:p>
      <w:pPr>
        <w:pStyle w:val="137"/>
        <w:spacing w:line="360" w:lineRule="auto"/>
        <w:ind w:firstLine="560"/>
        <w:rPr>
          <w:rFonts w:ascii="宋体" w:hAnsi="宋体" w:cs="宋体"/>
          <w:sz w:val="24"/>
        </w:rPr>
      </w:pPr>
      <w:r>
        <w:rPr>
          <w:rFonts w:hint="eastAsia" w:ascii="宋体" w:hAnsi="宋体" w:cs="宋体"/>
          <w:sz w:val="24"/>
        </w:rPr>
        <w:t>4．支持数据转换和清洗功能配置：提供常用数据转换组件、清洗函数；提供字符集、数据格式转换，提供用户自定义转换规则。</w:t>
      </w:r>
    </w:p>
    <w:p>
      <w:pPr>
        <w:pStyle w:val="137"/>
        <w:spacing w:line="360" w:lineRule="auto"/>
        <w:ind w:firstLine="560"/>
        <w:rPr>
          <w:rFonts w:ascii="宋体" w:hAnsi="宋体" w:cs="宋体"/>
          <w:sz w:val="24"/>
        </w:rPr>
      </w:pPr>
      <w:r>
        <w:rPr>
          <w:rFonts w:hint="eastAsia" w:ascii="宋体" w:hAnsi="宋体" w:cs="宋体"/>
          <w:sz w:val="24"/>
        </w:rPr>
        <w:t>5．支持异常处理操作：提供内置异常管理、日志管理等功能；提供错误原因判断以及错误恢复功能；提供数据校验功能。</w:t>
      </w:r>
    </w:p>
    <w:p>
      <w:pPr>
        <w:pStyle w:val="137"/>
        <w:spacing w:line="360" w:lineRule="auto"/>
        <w:ind w:firstLine="560"/>
        <w:rPr>
          <w:rFonts w:ascii="宋体" w:hAnsi="宋体" w:cs="宋体"/>
          <w:sz w:val="24"/>
        </w:rPr>
      </w:pPr>
      <w:r>
        <w:rPr>
          <w:rFonts w:hint="eastAsia" w:ascii="宋体" w:hAnsi="宋体" w:cs="宋体"/>
          <w:sz w:val="24"/>
        </w:rPr>
        <w:t>6．支持数据质量评估和数据域发现配置：支持字段级数据质量评估；支持预置数据非空性、数据唯一性和数据模式判断规则；支持评估规则自定义；支持主外键关系判断、数据含义发现；提供图表方式展现和报告输出。</w:t>
      </w:r>
    </w:p>
    <w:p>
      <w:pPr>
        <w:pStyle w:val="137"/>
        <w:spacing w:line="360" w:lineRule="auto"/>
        <w:ind w:firstLine="560"/>
        <w:rPr>
          <w:rFonts w:ascii="宋体" w:hAnsi="宋体" w:cs="宋体"/>
          <w:sz w:val="24"/>
        </w:rPr>
      </w:pPr>
      <w:r>
        <w:rPr>
          <w:rFonts w:hint="eastAsia" w:ascii="宋体" w:hAnsi="宋体" w:cs="宋体"/>
          <w:sz w:val="24"/>
        </w:rPr>
        <w:t>7．支持灵活的任务调度配置：支持图形化调度配置，支持设定调度时间。</w:t>
      </w:r>
    </w:p>
    <w:p>
      <w:pPr>
        <w:pStyle w:val="137"/>
        <w:spacing w:line="360" w:lineRule="auto"/>
        <w:ind w:firstLine="560"/>
        <w:rPr>
          <w:rFonts w:ascii="宋体" w:hAnsi="宋体" w:cs="宋体"/>
          <w:sz w:val="24"/>
        </w:rPr>
      </w:pPr>
      <w:r>
        <w:rPr>
          <w:rFonts w:hint="eastAsia" w:ascii="宋体" w:hAnsi="宋体" w:cs="宋体"/>
          <w:sz w:val="24"/>
        </w:rPr>
        <w:t>8．支持运行监控查看：提供图形化的监控界面，支持查看全流程任务运行状态、耗时统计、成功读取记录数、成功装载记录数、失败装载记录数、错误发生点等信息。</w:t>
      </w:r>
    </w:p>
    <w:p>
      <w:pPr>
        <w:pStyle w:val="137"/>
        <w:spacing w:line="360" w:lineRule="auto"/>
        <w:ind w:firstLine="560"/>
        <w:rPr>
          <w:rFonts w:ascii="宋体" w:hAnsi="宋体" w:cs="宋体"/>
          <w:sz w:val="24"/>
        </w:rPr>
      </w:pPr>
      <w:r>
        <w:rPr>
          <w:rFonts w:hint="eastAsia" w:ascii="宋体" w:hAnsi="宋体" w:cs="宋体"/>
          <w:sz w:val="24"/>
        </w:rPr>
        <w:t>9．支持团队开发和版本控制（记录版本变更，并行开发）功能。</w:t>
      </w:r>
    </w:p>
    <w:p>
      <w:pPr>
        <w:pStyle w:val="137"/>
        <w:spacing w:line="360" w:lineRule="auto"/>
        <w:ind w:firstLine="560"/>
        <w:rPr>
          <w:rFonts w:ascii="宋体" w:hAnsi="宋体" w:cs="宋体"/>
          <w:sz w:val="24"/>
        </w:rPr>
      </w:pPr>
      <w:r>
        <w:rPr>
          <w:rFonts w:hint="eastAsia" w:ascii="宋体" w:hAnsi="宋体" w:cs="宋体"/>
          <w:sz w:val="24"/>
        </w:rPr>
        <w:t>10．安装调试时,不能改变系统内核参数且不需要额外软件的支持，即可完成产品的安装及调试。</w:t>
      </w:r>
    </w:p>
    <w:p>
      <w:pPr>
        <w:pStyle w:val="137"/>
        <w:spacing w:line="360" w:lineRule="auto"/>
        <w:ind w:firstLine="560"/>
        <w:rPr>
          <w:rFonts w:ascii="宋体" w:hAnsi="宋体" w:cs="宋体"/>
          <w:sz w:val="24"/>
        </w:rPr>
      </w:pPr>
      <w:r>
        <w:rPr>
          <w:rFonts w:hint="eastAsia" w:ascii="宋体" w:hAnsi="宋体" w:cs="宋体"/>
          <w:sz w:val="24"/>
        </w:rPr>
        <w:t>11．支持高可用部署：内置HA (高可用性)技术，具备高性能、高可靠性、高扩展性；支持系统动态扩展节点。</w:t>
      </w:r>
    </w:p>
    <w:p>
      <w:pPr>
        <w:pStyle w:val="137"/>
        <w:spacing w:line="360" w:lineRule="auto"/>
        <w:rPr>
          <w:rFonts w:ascii="宋体" w:hAnsi="宋体" w:cs="宋体"/>
          <w:sz w:val="24"/>
        </w:rPr>
      </w:pPr>
      <w:r>
        <w:rPr>
          <w:rFonts w:ascii="宋体" w:hAnsi="宋体" w:cs="宋体"/>
          <w:sz w:val="24"/>
        </w:rPr>
        <w:t>4</w:t>
      </w:r>
      <w:r>
        <w:rPr>
          <w:rFonts w:hint="eastAsia" w:ascii="宋体" w:hAnsi="宋体" w:cs="宋体"/>
          <w:sz w:val="24"/>
        </w:rPr>
        <w:t>.2.</w:t>
      </w:r>
      <w:r>
        <w:rPr>
          <w:rFonts w:ascii="宋体" w:hAnsi="宋体" w:cs="宋体"/>
          <w:sz w:val="24"/>
        </w:rPr>
        <w:t>2</w:t>
      </w:r>
      <w:r>
        <w:rPr>
          <w:rFonts w:hint="eastAsia" w:ascii="宋体" w:hAnsi="宋体" w:cs="宋体"/>
          <w:sz w:val="24"/>
        </w:rPr>
        <w:t xml:space="preserve"> 运营数据中心</w:t>
      </w:r>
    </w:p>
    <w:p>
      <w:pPr>
        <w:pStyle w:val="137"/>
        <w:spacing w:line="360" w:lineRule="auto"/>
        <w:ind w:firstLine="560"/>
        <w:rPr>
          <w:rFonts w:ascii="宋体" w:hAnsi="宋体" w:cs="宋体"/>
          <w:sz w:val="24"/>
        </w:rPr>
      </w:pPr>
      <w:r>
        <w:rPr>
          <w:rFonts w:hint="eastAsia" w:ascii="宋体" w:hAnsi="宋体" w:cs="宋体"/>
          <w:sz w:val="24"/>
        </w:rPr>
        <w:t>运营数据中心基于数据中心中间件等技术，对医院运营管理数据进行整合分析，将医院多年来所积累的结构不合理、数据冗余混乱的“数据”进行重组织，实现基于高层次数据环境的集成，为管理者和临床科室提供决策支持，将医院各个分散的业务系统的人、财、物相关数据进行统一的标准化数据模型存储。</w:t>
      </w:r>
    </w:p>
    <w:p>
      <w:pPr>
        <w:pStyle w:val="137"/>
        <w:spacing w:line="360" w:lineRule="auto"/>
        <w:ind w:firstLine="560"/>
        <w:rPr>
          <w:rFonts w:ascii="宋体" w:hAnsi="宋体" w:cs="宋体"/>
          <w:sz w:val="24"/>
        </w:rPr>
      </w:pPr>
      <w:r>
        <w:rPr>
          <w:rFonts w:hint="eastAsia" w:ascii="宋体" w:hAnsi="宋体" w:cs="宋体"/>
          <w:sz w:val="24"/>
        </w:rPr>
        <w:t>1.建立以管理为主线，后勤保障为支撑的运营管理功能，分层级不同指标多维度对医院数据汇总和统计，满足医院人、财、物的管理需求，为医院管理提供决策依据，实行精细化管理。</w:t>
      </w:r>
    </w:p>
    <w:p>
      <w:pPr>
        <w:pStyle w:val="137"/>
        <w:spacing w:line="360" w:lineRule="auto"/>
        <w:ind w:firstLine="560"/>
        <w:rPr>
          <w:rFonts w:ascii="宋体" w:hAnsi="宋体" w:cs="宋体"/>
          <w:sz w:val="24"/>
        </w:rPr>
      </w:pPr>
      <w:r>
        <w:rPr>
          <w:rFonts w:hint="eastAsia" w:ascii="宋体" w:hAnsi="宋体" w:cs="宋体"/>
          <w:sz w:val="24"/>
        </w:rPr>
        <w:t>2.运营决策仓库以数据仓库进行建设，为运营分析、BI决策分析和医院等级评审提供基础数据支撑。</w:t>
      </w:r>
    </w:p>
    <w:p>
      <w:pPr>
        <w:pStyle w:val="137"/>
        <w:spacing w:line="360" w:lineRule="auto"/>
        <w:ind w:firstLine="560"/>
        <w:rPr>
          <w:rFonts w:ascii="宋体" w:hAnsi="宋体" w:cs="宋体"/>
          <w:sz w:val="24"/>
        </w:rPr>
      </w:pPr>
      <w:r>
        <w:rPr>
          <w:rFonts w:hint="eastAsia" w:ascii="宋体" w:hAnsi="宋体" w:cs="宋体"/>
          <w:sz w:val="24"/>
        </w:rPr>
        <w:t>3.支持分不同层级、不同指标、多维度对医院数据进行分类和存储。</w:t>
      </w:r>
    </w:p>
    <w:p>
      <w:pPr>
        <w:pStyle w:val="137"/>
        <w:spacing w:line="360" w:lineRule="auto"/>
        <w:ind w:firstLine="560"/>
        <w:rPr>
          <w:rFonts w:ascii="宋体" w:hAnsi="宋体" w:cs="宋体"/>
          <w:sz w:val="24"/>
        </w:rPr>
      </w:pPr>
      <w:r>
        <w:rPr>
          <w:rFonts w:hint="eastAsia" w:ascii="宋体" w:hAnsi="宋体" w:cs="宋体"/>
          <w:sz w:val="24"/>
        </w:rPr>
        <w:t>4.支持数据发掘、多维数据分析等技术和传统的查询及表报。</w:t>
      </w:r>
    </w:p>
    <w:p>
      <w:pPr>
        <w:pStyle w:val="137"/>
        <w:spacing w:line="360" w:lineRule="auto"/>
        <w:rPr>
          <w:rFonts w:ascii="宋体" w:hAnsi="宋体" w:cs="宋体"/>
          <w:b/>
          <w:bCs/>
          <w:sz w:val="24"/>
        </w:rPr>
      </w:pPr>
      <w:r>
        <w:rPr>
          <w:rFonts w:ascii="宋体" w:hAnsi="宋体" w:cs="宋体"/>
          <w:b/>
          <w:bCs/>
          <w:sz w:val="24"/>
        </w:rPr>
        <w:t>4</w:t>
      </w:r>
      <w:r>
        <w:rPr>
          <w:rFonts w:hint="eastAsia" w:ascii="宋体" w:hAnsi="宋体" w:cs="宋体"/>
          <w:b/>
          <w:bCs/>
          <w:sz w:val="24"/>
        </w:rPr>
        <w:t>.3数据应用支撑</w:t>
      </w:r>
    </w:p>
    <w:p>
      <w:pPr>
        <w:pStyle w:val="137"/>
        <w:spacing w:line="360" w:lineRule="auto"/>
        <w:rPr>
          <w:rFonts w:ascii="宋体" w:hAnsi="宋体" w:cs="宋体"/>
          <w:sz w:val="24"/>
        </w:rPr>
      </w:pPr>
      <w:r>
        <w:rPr>
          <w:rFonts w:ascii="宋体" w:hAnsi="宋体" w:cs="宋体"/>
          <w:sz w:val="24"/>
        </w:rPr>
        <w:t>4</w:t>
      </w:r>
      <w:r>
        <w:rPr>
          <w:rFonts w:hint="eastAsia" w:ascii="宋体" w:hAnsi="宋体" w:cs="宋体"/>
          <w:sz w:val="24"/>
        </w:rPr>
        <w:t>.3.1 BI决策支持系统</w:t>
      </w:r>
    </w:p>
    <w:p>
      <w:pPr>
        <w:pStyle w:val="137"/>
        <w:spacing w:line="360" w:lineRule="auto"/>
        <w:ind w:firstLine="560"/>
        <w:rPr>
          <w:rFonts w:ascii="宋体" w:hAnsi="宋体" w:cs="宋体"/>
          <w:sz w:val="24"/>
        </w:rPr>
      </w:pPr>
      <w:r>
        <w:rPr>
          <w:rFonts w:hint="eastAsia" w:ascii="宋体" w:hAnsi="宋体" w:cs="宋体"/>
          <w:sz w:val="24"/>
        </w:rPr>
        <w:t>支持基于医院数据中心获得应用系统数据，对数据进行建模分析进行多维度、多形式的展示。需提供移动端和PC端的辅助决策支持展现功能。具体技术及功能要求如下：</w:t>
      </w:r>
    </w:p>
    <w:p>
      <w:pPr>
        <w:pStyle w:val="137"/>
        <w:spacing w:line="360" w:lineRule="auto"/>
        <w:ind w:firstLine="560"/>
        <w:rPr>
          <w:rFonts w:ascii="宋体" w:hAnsi="宋体" w:cs="宋体"/>
          <w:sz w:val="24"/>
        </w:rPr>
      </w:pPr>
      <w:r>
        <w:rPr>
          <w:rFonts w:hint="eastAsia" w:ascii="宋体" w:hAnsi="宋体" w:cs="宋体"/>
          <w:sz w:val="24"/>
        </w:rPr>
        <w:t>1．操作系统适配要求：服务器端支持Windows、Linux等主流操作系统。</w:t>
      </w:r>
    </w:p>
    <w:p>
      <w:pPr>
        <w:pStyle w:val="137"/>
        <w:spacing w:line="360" w:lineRule="auto"/>
        <w:ind w:firstLine="560"/>
        <w:rPr>
          <w:rFonts w:ascii="宋体" w:hAnsi="宋体" w:cs="宋体"/>
          <w:sz w:val="24"/>
        </w:rPr>
      </w:pPr>
      <w:r>
        <w:rPr>
          <w:rFonts w:hint="eastAsia" w:ascii="宋体" w:hAnsi="宋体" w:cs="宋体"/>
          <w:sz w:val="24"/>
        </w:rPr>
        <w:t>2．产品架构要求：支持BS架构，实现设计和业务查看分离，保证系统安全。</w:t>
      </w:r>
    </w:p>
    <w:p>
      <w:pPr>
        <w:pStyle w:val="137"/>
        <w:spacing w:line="360" w:lineRule="auto"/>
        <w:ind w:firstLine="560"/>
        <w:rPr>
          <w:rFonts w:ascii="宋体" w:hAnsi="宋体" w:cs="宋体"/>
          <w:sz w:val="24"/>
        </w:rPr>
      </w:pPr>
      <w:r>
        <w:rPr>
          <w:rFonts w:hint="eastAsia" w:ascii="宋体" w:hAnsi="宋体" w:cs="宋体"/>
          <w:sz w:val="24"/>
        </w:rPr>
        <w:t>3．数据源适配要求：支持ORACLE 、SYBASE、DB2、MYSQL、MS SQLSERVER等主流数据库和主流Hadoop大数据平台，支持直接连接多维数据库及cube，且无需代码开发。支持Excel、txt文件、XML文件等文件数据源。</w:t>
      </w:r>
    </w:p>
    <w:p>
      <w:pPr>
        <w:pStyle w:val="137"/>
        <w:spacing w:line="360" w:lineRule="auto"/>
        <w:ind w:firstLine="560"/>
        <w:rPr>
          <w:rFonts w:ascii="宋体" w:hAnsi="宋体" w:cs="宋体"/>
          <w:sz w:val="24"/>
        </w:rPr>
      </w:pPr>
      <w:r>
        <w:rPr>
          <w:rFonts w:hint="eastAsia" w:ascii="宋体" w:hAnsi="宋体" w:cs="宋体"/>
          <w:sz w:val="24"/>
        </w:rPr>
        <w:t>4．报表工具基础功能要求</w:t>
      </w:r>
    </w:p>
    <w:p>
      <w:pPr>
        <w:pStyle w:val="137"/>
        <w:spacing w:line="360" w:lineRule="auto"/>
        <w:ind w:firstLine="56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支持复杂报表，包含分组表、交叉表、分栏报表、主子报表；支持分页展示报表、中国式斜线表头报表、固定格式报表等。</w:t>
      </w:r>
    </w:p>
    <w:p>
      <w:pPr>
        <w:pStyle w:val="137"/>
        <w:spacing w:line="360" w:lineRule="auto"/>
        <w:ind w:firstLine="56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z w:val="24"/>
        </w:rPr>
        <w:tab/>
      </w:r>
      <w:r>
        <w:rPr>
          <w:rFonts w:hint="eastAsia" w:ascii="宋体" w:hAnsi="宋体" w:cs="宋体"/>
          <w:sz w:val="24"/>
        </w:rPr>
        <w:t>支持参数设计，支持参数和报表一体化设计；支持文本框、下拉、复选框（组）、单选框（组）等丰富的参数控件类型，支持预定义控件，减少后期维护工作。</w:t>
      </w:r>
    </w:p>
    <w:p>
      <w:pPr>
        <w:pStyle w:val="137"/>
        <w:spacing w:line="360" w:lineRule="auto"/>
        <w:ind w:firstLine="56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z w:val="24"/>
        </w:rPr>
        <w:tab/>
      </w:r>
      <w:r>
        <w:rPr>
          <w:rFonts w:hint="eastAsia" w:ascii="宋体" w:hAnsi="宋体" w:cs="宋体"/>
          <w:sz w:val="24"/>
        </w:rPr>
        <w:t>支持增强统计分析：即支持自定义分组(包括条件分组和公式分组)，以及层次坐标公式(包括同比，环比，排名，占比和累计等需要层次坐标比较的模板制作)。要求支持跨sheet获取报表中任意单元格的值进行运算，并支持填报时的自动计算。</w:t>
      </w:r>
    </w:p>
    <w:p>
      <w:pPr>
        <w:pStyle w:val="137"/>
        <w:spacing w:line="360" w:lineRule="auto"/>
        <w:ind w:firstLine="56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hint="eastAsia" w:ascii="宋体" w:hAnsi="宋体" w:cs="宋体"/>
          <w:sz w:val="24"/>
        </w:rPr>
        <w:tab/>
      </w:r>
      <w:r>
        <w:rPr>
          <w:rFonts w:hint="eastAsia" w:ascii="宋体" w:hAnsi="宋体" w:cs="宋体"/>
          <w:sz w:val="24"/>
        </w:rPr>
        <w:t>支持打印；支持前端页面自动缩放打印。</w:t>
      </w:r>
    </w:p>
    <w:p>
      <w:pPr>
        <w:pStyle w:val="137"/>
        <w:spacing w:line="360" w:lineRule="auto"/>
        <w:ind w:firstLine="560"/>
        <w:rPr>
          <w:rFonts w:ascii="宋体" w:hAnsi="宋体" w:cs="宋体"/>
          <w:sz w:val="24"/>
        </w:rPr>
      </w:pPr>
      <w:r>
        <w:rPr>
          <w:rFonts w:hint="eastAsia" w:ascii="宋体" w:hAnsi="宋体" w:cs="宋体"/>
          <w:sz w:val="24"/>
        </w:rPr>
        <w:t>5．支持数据导出：支持无编码导出excel、pdf、word、图片；用户导出文件时可以重命名。</w:t>
      </w:r>
    </w:p>
    <w:p>
      <w:pPr>
        <w:pStyle w:val="137"/>
        <w:spacing w:line="360" w:lineRule="auto"/>
        <w:ind w:firstLine="560"/>
        <w:rPr>
          <w:rFonts w:ascii="宋体" w:hAnsi="宋体" w:cs="宋体"/>
          <w:sz w:val="24"/>
        </w:rPr>
      </w:pPr>
      <w:r>
        <w:rPr>
          <w:rFonts w:hint="eastAsia" w:ascii="宋体" w:hAnsi="宋体" w:cs="宋体"/>
          <w:sz w:val="24"/>
        </w:rPr>
        <w:t>6．统计图要求</w:t>
      </w:r>
    </w:p>
    <w:p>
      <w:pPr>
        <w:pStyle w:val="137"/>
        <w:spacing w:line="360" w:lineRule="auto"/>
        <w:ind w:firstLine="56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支持基本图表类型，包括：柱形图、折线图、面积图、饼图、多层饼图、散点图、雷达图、仪表盘、多坐标轴混合图等，支持多种类型的混合显示。</w:t>
      </w:r>
    </w:p>
    <w:p>
      <w:pPr>
        <w:pStyle w:val="137"/>
        <w:spacing w:line="360" w:lineRule="auto"/>
        <w:ind w:firstLine="56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支持直接显示数据图表，即支持在图表当中默认附加上数据表，使得图表分类轴与数据表列名一一对应的图表展示。</w:t>
      </w:r>
    </w:p>
    <w:p>
      <w:pPr>
        <w:pStyle w:val="137"/>
        <w:spacing w:line="360" w:lineRule="auto"/>
        <w:ind w:firstLine="56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支持双数据来源图表。</w:t>
      </w:r>
    </w:p>
    <w:p>
      <w:pPr>
        <w:pStyle w:val="137"/>
        <w:spacing w:line="360" w:lineRule="auto"/>
        <w:ind w:firstLine="560"/>
        <w:rPr>
          <w:rFonts w:ascii="宋体" w:hAnsi="宋体" w:cs="宋体"/>
          <w:sz w:val="24"/>
        </w:rPr>
      </w:pPr>
      <w:r>
        <w:rPr>
          <w:rFonts w:hint="eastAsia" w:ascii="宋体" w:hAnsi="宋体" w:cs="宋体"/>
          <w:sz w:val="24"/>
        </w:rPr>
        <w:t>7．管理功能要求</w:t>
      </w:r>
    </w:p>
    <w:p>
      <w:pPr>
        <w:pStyle w:val="137"/>
        <w:spacing w:line="360" w:lineRule="auto"/>
        <w:ind w:firstLine="56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支持插件管理功能。支持通过一键安装的方式进行部分插件安装，提升平台的扩展性和应用性。</w:t>
      </w:r>
    </w:p>
    <w:p>
      <w:pPr>
        <w:pStyle w:val="137"/>
        <w:spacing w:line="360" w:lineRule="auto"/>
        <w:ind w:firstLine="56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 xml:space="preserve">支持移动端访问。支持通过h5方式嵌入到微信，钉钉等第三方手机app应用中，无需代码开发； </w:t>
      </w:r>
    </w:p>
    <w:p>
      <w:pPr>
        <w:pStyle w:val="137"/>
        <w:spacing w:line="360" w:lineRule="auto"/>
        <w:ind w:firstLine="56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支持在线升级，在线查看版本更新日志，直接一键升级，无需重新安装报表软件，不需重新布署等操作。</w:t>
      </w:r>
    </w:p>
    <w:p>
      <w:pPr>
        <w:pStyle w:val="137"/>
        <w:spacing w:line="360" w:lineRule="auto"/>
        <w:ind w:firstLine="560"/>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支持定时器设置功能。支持定时填报和定时生成报表，定时发送邮件，定时发送短信等操作；可以根据自定义条件触发任务。</w:t>
      </w:r>
    </w:p>
    <w:p>
      <w:pPr>
        <w:pStyle w:val="137"/>
        <w:spacing w:line="360" w:lineRule="auto"/>
        <w:ind w:firstLine="56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w:t>
      </w:r>
      <w:r>
        <w:rPr>
          <w:rFonts w:hint="eastAsia" w:ascii="宋体" w:hAnsi="宋体" w:cs="宋体"/>
          <w:sz w:val="24"/>
        </w:rPr>
        <w:tab/>
      </w:r>
      <w:r>
        <w:rPr>
          <w:rFonts w:hint="eastAsia" w:ascii="宋体" w:hAnsi="宋体" w:cs="宋体"/>
          <w:sz w:val="24"/>
        </w:rPr>
        <w:t>支持多种权限控制方式：即权限控制的力度包括模板访问权限，平台访问权限，填报权限的控制方法等。</w:t>
      </w:r>
    </w:p>
    <w:p>
      <w:pPr>
        <w:pStyle w:val="138"/>
        <w:rPr>
          <w:rFonts w:ascii="宋体" w:hAnsi="宋体"/>
        </w:rPr>
      </w:pPr>
    </w:p>
    <w:p>
      <w:pPr>
        <w:pStyle w:val="137"/>
        <w:spacing w:line="360" w:lineRule="auto"/>
        <w:rPr>
          <w:rFonts w:ascii="宋体" w:hAnsi="宋体" w:cs="宋体"/>
          <w:sz w:val="24"/>
        </w:rPr>
      </w:pPr>
      <w:r>
        <w:rPr>
          <w:rFonts w:ascii="宋体" w:hAnsi="宋体" w:cs="宋体"/>
          <w:sz w:val="24"/>
        </w:rPr>
        <w:t>4</w:t>
      </w:r>
      <w:r>
        <w:rPr>
          <w:rFonts w:hint="eastAsia" w:ascii="宋体" w:hAnsi="宋体" w:cs="宋体"/>
          <w:sz w:val="24"/>
        </w:rPr>
        <w:t>.3.2 运营数据分析支撑</w:t>
      </w:r>
    </w:p>
    <w:p>
      <w:pPr>
        <w:pStyle w:val="137"/>
        <w:spacing w:line="360" w:lineRule="auto"/>
        <w:ind w:firstLine="562"/>
        <w:rPr>
          <w:rFonts w:ascii="宋体" w:hAnsi="宋体" w:cs="宋体"/>
          <w:sz w:val="24"/>
        </w:rPr>
      </w:pPr>
      <w:r>
        <w:rPr>
          <w:rFonts w:hint="eastAsia" w:ascii="宋体" w:hAnsi="宋体" w:cs="宋体"/>
          <w:sz w:val="24"/>
        </w:rPr>
        <w:t>1.院领导驾驶舱：</w:t>
      </w:r>
    </w:p>
    <w:p>
      <w:pPr>
        <w:pStyle w:val="137"/>
        <w:spacing w:line="360" w:lineRule="auto"/>
        <w:ind w:firstLine="560"/>
        <w:rPr>
          <w:rFonts w:ascii="宋体" w:hAnsi="宋体" w:cs="宋体"/>
          <w:sz w:val="24"/>
        </w:rPr>
      </w:pPr>
      <w:r>
        <w:rPr>
          <w:rFonts w:hint="eastAsia" w:ascii="宋体" w:hAnsi="宋体" w:cs="宋体"/>
          <w:sz w:val="24"/>
        </w:rPr>
        <w:t>1）支持门诊量、急诊量、门诊就诊人次、急诊就诊人次、预约挂号量、门诊手术人次、当日实时门诊量、当日实时急诊量、当日实时门急诊就诊人次等分析。</w:t>
      </w:r>
    </w:p>
    <w:p>
      <w:pPr>
        <w:pStyle w:val="137"/>
        <w:spacing w:line="360" w:lineRule="auto"/>
        <w:ind w:firstLine="560"/>
        <w:rPr>
          <w:rFonts w:ascii="宋体" w:hAnsi="宋体" w:cs="宋体"/>
          <w:sz w:val="24"/>
        </w:rPr>
      </w:pPr>
      <w:r>
        <w:rPr>
          <w:rFonts w:hint="eastAsia" w:ascii="宋体" w:hAnsi="宋体" w:cs="宋体"/>
          <w:sz w:val="24"/>
        </w:rPr>
        <w:t>2）支持入院人次、出院人次、平均住院日、当日实时入院人次、当日实时出院人次、当日实时在院人次、住院手术人次等分析。</w:t>
      </w:r>
    </w:p>
    <w:p>
      <w:pPr>
        <w:pStyle w:val="137"/>
        <w:spacing w:line="360" w:lineRule="auto"/>
        <w:ind w:firstLine="560"/>
        <w:rPr>
          <w:rFonts w:ascii="宋体" w:hAnsi="宋体" w:cs="宋体"/>
          <w:sz w:val="24"/>
        </w:rPr>
      </w:pPr>
      <w:r>
        <w:rPr>
          <w:rFonts w:hint="eastAsia" w:ascii="宋体" w:hAnsi="宋体" w:cs="宋体"/>
          <w:sz w:val="24"/>
        </w:rPr>
        <w:t>3）支持门诊总费用、门诊药比、门诊材料比、门诊人均费用、住院总费用、住院药比、住院材料比、出院患者人均费用、全院总费用、当日实时门诊总费用、当日实时住院总费用、当日实时全院总费用等分析。</w:t>
      </w:r>
    </w:p>
    <w:p>
      <w:pPr>
        <w:pStyle w:val="137"/>
        <w:spacing w:line="360" w:lineRule="auto"/>
        <w:ind w:firstLine="562"/>
        <w:rPr>
          <w:rFonts w:ascii="宋体" w:hAnsi="宋体" w:cs="宋体"/>
          <w:sz w:val="24"/>
        </w:rPr>
      </w:pPr>
      <w:r>
        <w:rPr>
          <w:rFonts w:hint="eastAsia" w:ascii="宋体" w:hAnsi="宋体" w:cs="宋体"/>
          <w:sz w:val="24"/>
        </w:rPr>
        <w:t>2.医疗收入类指标：</w:t>
      </w:r>
    </w:p>
    <w:p>
      <w:pPr>
        <w:pStyle w:val="137"/>
        <w:spacing w:line="360" w:lineRule="auto"/>
        <w:ind w:firstLine="560"/>
        <w:rPr>
          <w:rFonts w:ascii="宋体" w:hAnsi="宋体" w:cs="宋体"/>
          <w:sz w:val="24"/>
        </w:rPr>
      </w:pPr>
      <w:r>
        <w:rPr>
          <w:rFonts w:hint="eastAsia" w:ascii="宋体" w:hAnsi="宋体" w:cs="宋体"/>
          <w:sz w:val="24"/>
        </w:rPr>
        <w:t>1）支持门诊总费用、门诊药品费用、门诊材料费用、门诊药比、门诊材料比、住院总费用、住院药品费用、住院材料费用、住院药比、住院材料比、全院总费用等分析。</w:t>
      </w:r>
    </w:p>
    <w:p>
      <w:pPr>
        <w:pStyle w:val="137"/>
        <w:spacing w:line="360" w:lineRule="auto"/>
        <w:ind w:firstLine="560"/>
        <w:rPr>
          <w:rFonts w:ascii="宋体" w:hAnsi="宋体" w:cs="宋体"/>
          <w:sz w:val="24"/>
        </w:rPr>
      </w:pPr>
      <w:r>
        <w:rPr>
          <w:rFonts w:hint="eastAsia" w:ascii="宋体" w:hAnsi="宋体" w:cs="宋体"/>
          <w:sz w:val="24"/>
        </w:rPr>
        <w:t>2）支持收入同比分析。</w:t>
      </w:r>
    </w:p>
    <w:p>
      <w:pPr>
        <w:pStyle w:val="137"/>
        <w:spacing w:line="360" w:lineRule="auto"/>
        <w:ind w:firstLine="560"/>
        <w:rPr>
          <w:rFonts w:ascii="宋体" w:hAnsi="宋体" w:cs="宋体"/>
          <w:sz w:val="24"/>
        </w:rPr>
      </w:pPr>
      <w:r>
        <w:rPr>
          <w:rFonts w:hint="eastAsia" w:ascii="宋体" w:hAnsi="宋体" w:cs="宋体"/>
          <w:sz w:val="24"/>
        </w:rPr>
        <w:t>3）支持收入环比分析。</w:t>
      </w:r>
    </w:p>
    <w:p>
      <w:pPr>
        <w:pStyle w:val="137"/>
        <w:spacing w:line="360" w:lineRule="auto"/>
        <w:ind w:firstLine="560"/>
        <w:rPr>
          <w:rFonts w:ascii="宋体" w:hAnsi="宋体" w:cs="宋体"/>
          <w:sz w:val="24"/>
        </w:rPr>
      </w:pPr>
      <w:r>
        <w:rPr>
          <w:rFonts w:hint="eastAsia" w:ascii="宋体" w:hAnsi="宋体" w:cs="宋体"/>
          <w:sz w:val="24"/>
        </w:rPr>
        <w:t>4）支持费别占比分析。</w:t>
      </w:r>
    </w:p>
    <w:p>
      <w:pPr>
        <w:pStyle w:val="137"/>
        <w:spacing w:line="360" w:lineRule="auto"/>
        <w:ind w:firstLine="560"/>
        <w:rPr>
          <w:rFonts w:ascii="宋体" w:hAnsi="宋体" w:cs="宋体"/>
          <w:sz w:val="24"/>
        </w:rPr>
      </w:pPr>
      <w:r>
        <w:rPr>
          <w:rFonts w:hint="eastAsia" w:ascii="宋体" w:hAnsi="宋体" w:cs="宋体"/>
          <w:sz w:val="24"/>
        </w:rPr>
        <w:t>5）支持科室排名分析。</w:t>
      </w:r>
    </w:p>
    <w:p>
      <w:pPr>
        <w:pStyle w:val="137"/>
        <w:spacing w:line="360" w:lineRule="auto"/>
        <w:ind w:firstLine="560"/>
        <w:rPr>
          <w:rFonts w:ascii="宋体" w:hAnsi="宋体" w:cs="宋体"/>
          <w:sz w:val="24"/>
        </w:rPr>
      </w:pPr>
      <w:r>
        <w:rPr>
          <w:rFonts w:hint="eastAsia" w:ascii="宋体" w:hAnsi="宋体" w:cs="宋体"/>
          <w:sz w:val="24"/>
        </w:rPr>
        <w:t>6）支持时间趋势分析。</w:t>
      </w:r>
    </w:p>
    <w:p>
      <w:pPr>
        <w:pStyle w:val="137"/>
        <w:spacing w:line="360" w:lineRule="auto"/>
        <w:ind w:firstLine="562"/>
        <w:rPr>
          <w:rFonts w:ascii="宋体" w:hAnsi="宋体" w:cs="宋体"/>
          <w:sz w:val="24"/>
        </w:rPr>
      </w:pPr>
      <w:r>
        <w:rPr>
          <w:rFonts w:hint="eastAsia" w:ascii="宋体" w:hAnsi="宋体" w:cs="宋体"/>
          <w:sz w:val="24"/>
        </w:rPr>
        <w:t>3.医疗工作量类指标：</w:t>
      </w:r>
    </w:p>
    <w:p>
      <w:pPr>
        <w:pStyle w:val="137"/>
        <w:spacing w:line="360" w:lineRule="auto"/>
        <w:ind w:firstLine="560"/>
        <w:rPr>
          <w:rFonts w:ascii="宋体" w:hAnsi="宋体" w:cs="宋体"/>
          <w:sz w:val="24"/>
        </w:rPr>
      </w:pPr>
      <w:r>
        <w:rPr>
          <w:rFonts w:hint="eastAsia" w:ascii="宋体" w:hAnsi="宋体" w:cs="宋体"/>
          <w:sz w:val="24"/>
        </w:rPr>
        <w:t>1）支持门诊挂号量、急诊挂号量、门诊就诊人次、急诊就诊人次、预约挂号量、出院人次、入院人次、总住院天数、平均住院日等分析。</w:t>
      </w:r>
    </w:p>
    <w:p>
      <w:pPr>
        <w:pStyle w:val="137"/>
        <w:spacing w:line="360" w:lineRule="auto"/>
        <w:ind w:firstLine="560"/>
        <w:rPr>
          <w:rFonts w:ascii="宋体" w:hAnsi="宋体" w:cs="宋体"/>
          <w:sz w:val="24"/>
        </w:rPr>
      </w:pPr>
      <w:r>
        <w:rPr>
          <w:rFonts w:hint="eastAsia" w:ascii="宋体" w:hAnsi="宋体" w:cs="宋体"/>
          <w:sz w:val="24"/>
        </w:rPr>
        <w:t>2）支持预约挂号率、微信预约挂号率等分析。</w:t>
      </w:r>
    </w:p>
    <w:p>
      <w:pPr>
        <w:pStyle w:val="137"/>
        <w:spacing w:line="360" w:lineRule="auto"/>
        <w:ind w:firstLine="560"/>
        <w:rPr>
          <w:rFonts w:ascii="宋体" w:hAnsi="宋体" w:cs="宋体"/>
          <w:sz w:val="24"/>
        </w:rPr>
      </w:pPr>
      <w:r>
        <w:rPr>
          <w:rFonts w:hint="eastAsia" w:ascii="宋体" w:hAnsi="宋体" w:cs="宋体"/>
          <w:sz w:val="24"/>
        </w:rPr>
        <w:t>3）支持医技工作量分析。</w:t>
      </w:r>
    </w:p>
    <w:p>
      <w:pPr>
        <w:pStyle w:val="137"/>
        <w:spacing w:line="360" w:lineRule="auto"/>
        <w:ind w:firstLine="560"/>
        <w:rPr>
          <w:rFonts w:ascii="宋体" w:hAnsi="宋体" w:cs="宋体"/>
          <w:sz w:val="24"/>
        </w:rPr>
      </w:pPr>
      <w:r>
        <w:rPr>
          <w:rFonts w:hint="eastAsia" w:ascii="宋体" w:hAnsi="宋体" w:cs="宋体"/>
          <w:sz w:val="24"/>
        </w:rPr>
        <w:t>4）支持在院人次、转入人次、转出人次等分析。</w:t>
      </w:r>
    </w:p>
    <w:p>
      <w:pPr>
        <w:pStyle w:val="137"/>
        <w:spacing w:line="360" w:lineRule="auto"/>
        <w:ind w:firstLine="562"/>
        <w:rPr>
          <w:rFonts w:ascii="宋体" w:hAnsi="宋体" w:cs="宋体"/>
          <w:sz w:val="24"/>
        </w:rPr>
      </w:pPr>
      <w:r>
        <w:rPr>
          <w:rFonts w:hint="eastAsia" w:ascii="宋体" w:hAnsi="宋体" w:cs="宋体"/>
          <w:sz w:val="24"/>
        </w:rPr>
        <w:t>4.医疗效率类指标：</w:t>
      </w:r>
    </w:p>
    <w:p>
      <w:pPr>
        <w:pStyle w:val="137"/>
        <w:spacing w:line="360" w:lineRule="auto"/>
        <w:ind w:firstLine="560"/>
        <w:rPr>
          <w:rFonts w:ascii="宋体" w:hAnsi="宋体" w:cs="宋体"/>
          <w:sz w:val="24"/>
        </w:rPr>
      </w:pPr>
      <w:r>
        <w:rPr>
          <w:rFonts w:hint="eastAsia" w:ascii="宋体" w:hAnsi="宋体" w:cs="宋体"/>
          <w:sz w:val="24"/>
        </w:rPr>
        <w:t>1）支持门诊总费用、门诊总就诊人次、门诊人均费用、急诊总费用、急诊总就诊人次、急诊人均费用、门诊人均费用同比、门诊人均费用环比、急诊人均费用同比、急诊人均费用环比、住院总费用、出院患者总人次、出院患者人均费用、出院患者人均费用同比、出院患者人均费用环比等分析。</w:t>
      </w:r>
    </w:p>
    <w:p>
      <w:pPr>
        <w:pStyle w:val="137"/>
        <w:spacing w:line="360" w:lineRule="auto"/>
        <w:ind w:firstLine="560"/>
        <w:rPr>
          <w:rFonts w:ascii="宋体" w:hAnsi="宋体" w:cs="宋体"/>
          <w:sz w:val="24"/>
        </w:rPr>
      </w:pPr>
      <w:r>
        <w:rPr>
          <w:rFonts w:hint="eastAsia" w:ascii="宋体" w:hAnsi="宋体" w:cs="宋体"/>
          <w:sz w:val="24"/>
        </w:rPr>
        <w:t>2）支持手术总人数、手术总例数等分析。</w:t>
      </w:r>
    </w:p>
    <w:p>
      <w:pPr>
        <w:pStyle w:val="137"/>
        <w:spacing w:line="360" w:lineRule="auto"/>
        <w:ind w:firstLine="560"/>
        <w:rPr>
          <w:rFonts w:ascii="宋体" w:hAnsi="宋体" w:cs="宋体"/>
          <w:sz w:val="24"/>
        </w:rPr>
      </w:pPr>
      <w:r>
        <w:rPr>
          <w:rFonts w:hint="eastAsia" w:ascii="宋体" w:hAnsi="宋体" w:cs="宋体"/>
          <w:sz w:val="24"/>
        </w:rPr>
        <w:t>3）支持床位使用率、床位周转率等分析。</w:t>
      </w:r>
    </w:p>
    <w:p>
      <w:pPr>
        <w:pStyle w:val="137"/>
        <w:spacing w:line="360" w:lineRule="auto"/>
        <w:ind w:firstLine="562"/>
        <w:rPr>
          <w:rFonts w:ascii="宋体" w:hAnsi="宋体" w:cs="宋体"/>
          <w:sz w:val="24"/>
        </w:rPr>
      </w:pPr>
      <w:r>
        <w:rPr>
          <w:rFonts w:hint="eastAsia" w:ascii="宋体" w:hAnsi="宋体" w:cs="宋体"/>
          <w:sz w:val="24"/>
        </w:rPr>
        <w:t>5.医疗质量类指标：</w:t>
      </w:r>
    </w:p>
    <w:p>
      <w:pPr>
        <w:pStyle w:val="137"/>
        <w:spacing w:line="360" w:lineRule="auto"/>
        <w:ind w:firstLine="560"/>
        <w:rPr>
          <w:rFonts w:ascii="宋体" w:hAnsi="宋体" w:cs="宋体"/>
          <w:sz w:val="24"/>
        </w:rPr>
      </w:pPr>
      <w:r>
        <w:rPr>
          <w:rFonts w:hint="eastAsia" w:ascii="宋体" w:hAnsi="宋体" w:cs="宋体"/>
          <w:sz w:val="24"/>
        </w:rPr>
        <w:t>1）支持门诊就诊人次、初诊人次、复诊人次、初诊率、复诊率等分析。</w:t>
      </w:r>
    </w:p>
    <w:p>
      <w:pPr>
        <w:pStyle w:val="137"/>
        <w:spacing w:line="360" w:lineRule="auto"/>
        <w:ind w:firstLine="560"/>
        <w:rPr>
          <w:rFonts w:ascii="宋体" w:hAnsi="宋体" w:cs="宋体"/>
          <w:sz w:val="24"/>
        </w:rPr>
      </w:pPr>
      <w:r>
        <w:rPr>
          <w:rFonts w:hint="eastAsia" w:ascii="宋体" w:hAnsi="宋体" w:cs="宋体"/>
          <w:sz w:val="24"/>
        </w:rPr>
        <w:t>2）支持门诊预约挂号量、门诊预约就诊量、门诊预约率、门诊预约就诊率等分析。</w:t>
      </w:r>
    </w:p>
    <w:p>
      <w:pPr>
        <w:pStyle w:val="137"/>
        <w:spacing w:line="360" w:lineRule="auto"/>
        <w:ind w:firstLine="560"/>
        <w:rPr>
          <w:rFonts w:ascii="宋体" w:hAnsi="宋体" w:cs="宋体"/>
          <w:sz w:val="24"/>
        </w:rPr>
      </w:pPr>
      <w:r>
        <w:rPr>
          <w:rFonts w:hint="eastAsia" w:ascii="宋体" w:hAnsi="宋体" w:cs="宋体"/>
          <w:sz w:val="24"/>
        </w:rPr>
        <w:t>3）支持出院人次年龄分析。</w:t>
      </w:r>
    </w:p>
    <w:p>
      <w:pPr>
        <w:pStyle w:val="137"/>
        <w:spacing w:line="360" w:lineRule="auto"/>
        <w:ind w:firstLine="560"/>
        <w:rPr>
          <w:rFonts w:ascii="宋体" w:hAnsi="宋体" w:cs="宋体"/>
          <w:sz w:val="24"/>
        </w:rPr>
      </w:pPr>
      <w:r>
        <w:rPr>
          <w:rFonts w:hint="eastAsia" w:ascii="宋体" w:hAnsi="宋体" w:cs="宋体"/>
          <w:sz w:val="24"/>
        </w:rPr>
        <w:t>4）支持危重患者分析。</w:t>
      </w:r>
    </w:p>
    <w:p>
      <w:pPr>
        <w:pStyle w:val="137"/>
        <w:spacing w:line="360" w:lineRule="auto"/>
        <w:ind w:firstLine="560"/>
        <w:rPr>
          <w:rFonts w:ascii="宋体" w:hAnsi="宋体" w:cs="宋体"/>
          <w:sz w:val="24"/>
        </w:rPr>
      </w:pPr>
      <w:r>
        <w:rPr>
          <w:rFonts w:hint="eastAsia" w:ascii="宋体" w:hAnsi="宋体" w:cs="宋体"/>
          <w:sz w:val="24"/>
        </w:rPr>
        <w:t>5）支持住院重返率分析。</w:t>
      </w:r>
    </w:p>
    <w:p>
      <w:pPr>
        <w:pStyle w:val="137"/>
        <w:spacing w:line="360" w:lineRule="auto"/>
        <w:ind w:firstLine="560"/>
        <w:rPr>
          <w:rFonts w:ascii="宋体" w:hAnsi="宋体" w:cs="宋体"/>
          <w:sz w:val="24"/>
        </w:rPr>
      </w:pPr>
      <w:r>
        <w:rPr>
          <w:rFonts w:hint="eastAsia" w:ascii="宋体" w:hAnsi="宋体" w:cs="宋体"/>
          <w:sz w:val="24"/>
        </w:rPr>
        <w:t>6）支持全院、科室、患者死亡率分析。</w:t>
      </w:r>
    </w:p>
    <w:p>
      <w:pPr>
        <w:pStyle w:val="137"/>
        <w:rPr>
          <w:rFonts w:ascii="宋体" w:hAnsi="宋体"/>
        </w:rPr>
      </w:pPr>
      <w:r>
        <w:rPr>
          <w:rFonts w:hint="eastAsia" w:ascii="宋体" w:hAnsi="宋体"/>
        </w:rPr>
        <w:t>具体指标：</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268"/>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38"/>
              <w:rPr>
                <w:rFonts w:ascii="宋体" w:hAnsi="宋体"/>
                <w:b/>
                <w:bCs/>
              </w:rPr>
            </w:pPr>
            <w:r>
              <w:rPr>
                <w:rFonts w:hint="eastAsia" w:ascii="宋体" w:hAnsi="宋体"/>
                <w:b/>
                <w:bCs/>
              </w:rPr>
              <w:t>一级菜单</w:t>
            </w:r>
          </w:p>
        </w:tc>
        <w:tc>
          <w:tcPr>
            <w:tcW w:w="2268" w:type="dxa"/>
            <w:vAlign w:val="center"/>
          </w:tcPr>
          <w:p>
            <w:pPr>
              <w:pStyle w:val="138"/>
              <w:rPr>
                <w:rFonts w:ascii="宋体" w:hAnsi="宋体"/>
                <w:b/>
                <w:bCs/>
              </w:rPr>
            </w:pPr>
            <w:r>
              <w:rPr>
                <w:rFonts w:hint="eastAsia" w:ascii="宋体" w:hAnsi="宋体"/>
                <w:b/>
                <w:bCs/>
              </w:rPr>
              <w:t>二级菜单</w:t>
            </w:r>
          </w:p>
        </w:tc>
        <w:tc>
          <w:tcPr>
            <w:tcW w:w="5409" w:type="dxa"/>
          </w:tcPr>
          <w:p>
            <w:pPr>
              <w:pStyle w:val="138"/>
              <w:rPr>
                <w:rFonts w:ascii="宋体" w:hAnsi="宋体"/>
                <w:b/>
                <w:bCs/>
              </w:rPr>
            </w:pPr>
            <w:r>
              <w:rPr>
                <w:rFonts w:hint="eastAsia" w:ascii="宋体" w:hAnsi="宋体"/>
                <w:b/>
                <w:bCs/>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38"/>
              <w:rPr>
                <w:rFonts w:ascii="宋体" w:hAnsi="宋体"/>
              </w:rPr>
            </w:pPr>
            <w:r>
              <w:rPr>
                <w:rFonts w:hint="eastAsia" w:ascii="宋体" w:hAnsi="宋体"/>
              </w:rPr>
              <w:t>首页</w:t>
            </w:r>
          </w:p>
        </w:tc>
        <w:tc>
          <w:tcPr>
            <w:tcW w:w="2268" w:type="dxa"/>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驾驶舱页面循环轮播。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1951" w:type="dxa"/>
            <w:vAlign w:val="center"/>
          </w:tcPr>
          <w:p>
            <w:pPr>
              <w:pStyle w:val="138"/>
              <w:rPr>
                <w:rFonts w:ascii="宋体" w:hAnsi="宋体"/>
              </w:rPr>
            </w:pPr>
            <w:r>
              <w:rPr>
                <w:rFonts w:hint="eastAsia" w:ascii="宋体" w:hAnsi="宋体"/>
              </w:rPr>
              <w:t>门诊驾驶舱</w:t>
            </w:r>
          </w:p>
        </w:tc>
        <w:tc>
          <w:tcPr>
            <w:tcW w:w="2268" w:type="dxa"/>
            <w:vAlign w:val="center"/>
          </w:tcPr>
          <w:p>
            <w:pPr>
              <w:pStyle w:val="138"/>
              <w:rPr>
                <w:rFonts w:ascii="宋体" w:hAnsi="宋体"/>
              </w:rPr>
            </w:pPr>
            <w:r>
              <w:rPr>
                <w:rFonts w:hint="eastAsia" w:ascii="宋体" w:hAnsi="宋体"/>
              </w:rPr>
              <w:t>门诊驾驶舱</w:t>
            </w:r>
          </w:p>
        </w:tc>
        <w:tc>
          <w:tcPr>
            <w:tcW w:w="5409" w:type="dxa"/>
          </w:tcPr>
          <w:p>
            <w:pPr>
              <w:pStyle w:val="138"/>
              <w:jc w:val="both"/>
              <w:rPr>
                <w:rFonts w:ascii="宋体" w:hAnsi="宋体"/>
              </w:rPr>
            </w:pPr>
            <w:r>
              <w:rPr>
                <w:rFonts w:hint="eastAsia" w:ascii="宋体" w:hAnsi="宋体"/>
              </w:rPr>
              <w:t>当日门诊数据可视化展示。包含：</w:t>
            </w:r>
          </w:p>
          <w:p>
            <w:pPr>
              <w:pStyle w:val="137"/>
              <w:rPr>
                <w:rFonts w:ascii="宋体" w:hAnsi="宋体"/>
              </w:rPr>
            </w:pPr>
            <w:r>
              <w:rPr>
                <w:rFonts w:hint="eastAsia" w:ascii="宋体" w:hAnsi="宋体"/>
              </w:rPr>
              <w:t>门急诊基本信息:全年门诊人次、本季度门诊人次；本季度门诊费用、本月门诊费用；</w:t>
            </w:r>
          </w:p>
          <w:p>
            <w:pPr>
              <w:pStyle w:val="137"/>
              <w:rPr>
                <w:rFonts w:ascii="宋体" w:hAnsi="宋体"/>
              </w:rPr>
            </w:pPr>
            <w:r>
              <w:rPr>
                <w:rFonts w:hint="eastAsia" w:ascii="宋体" w:hAnsi="宋体"/>
              </w:rPr>
              <w:t>一周内门急诊检验费用分析(万元)；</w:t>
            </w:r>
          </w:p>
          <w:p>
            <w:pPr>
              <w:pStyle w:val="137"/>
              <w:rPr>
                <w:rFonts w:ascii="宋体" w:hAnsi="宋体"/>
              </w:rPr>
            </w:pPr>
            <w:r>
              <w:rPr>
                <w:rFonts w:hint="eastAsia" w:ascii="宋体" w:hAnsi="宋体"/>
              </w:rPr>
              <w:t>一周内门急诊检查费用分析(万元)；</w:t>
            </w:r>
          </w:p>
          <w:p>
            <w:pPr>
              <w:pStyle w:val="137"/>
              <w:rPr>
                <w:rFonts w:ascii="宋体" w:hAnsi="宋体"/>
              </w:rPr>
            </w:pPr>
            <w:r>
              <w:rPr>
                <w:rFonts w:hint="eastAsia" w:ascii="宋体" w:hAnsi="宋体"/>
              </w:rPr>
              <w:t>当日科室工作量 当日出诊医生；</w:t>
            </w:r>
          </w:p>
          <w:p>
            <w:pPr>
              <w:pStyle w:val="137"/>
              <w:rPr>
                <w:rFonts w:ascii="宋体" w:hAnsi="宋体"/>
              </w:rPr>
            </w:pPr>
            <w:r>
              <w:rPr>
                <w:rFonts w:hint="eastAsia" w:ascii="宋体" w:hAnsi="宋体"/>
              </w:rPr>
              <w:t>当日门/急诊人次分析；</w:t>
            </w:r>
          </w:p>
          <w:p>
            <w:pPr>
              <w:pStyle w:val="137"/>
              <w:rPr>
                <w:rFonts w:ascii="宋体" w:hAnsi="宋体"/>
              </w:rPr>
            </w:pPr>
            <w:r>
              <w:rPr>
                <w:rFonts w:hint="eastAsia" w:ascii="宋体" w:hAnsi="宋体"/>
              </w:rPr>
              <w:t>当日门急诊药占比(%)；</w:t>
            </w:r>
          </w:p>
          <w:p>
            <w:pPr>
              <w:pStyle w:val="137"/>
              <w:rPr>
                <w:rFonts w:ascii="宋体" w:hAnsi="宋体"/>
              </w:rPr>
            </w:pPr>
            <w:r>
              <w:rPr>
                <w:rFonts w:hint="eastAsia" w:ascii="宋体" w:hAnsi="宋体"/>
              </w:rPr>
              <w:t>当日门急诊基药占比(%)；</w:t>
            </w:r>
          </w:p>
          <w:p>
            <w:pPr>
              <w:pStyle w:val="137"/>
              <w:rPr>
                <w:rFonts w:ascii="宋体" w:hAnsi="宋体"/>
              </w:rPr>
            </w:pPr>
            <w:r>
              <w:rPr>
                <w:rFonts w:hint="eastAsia" w:ascii="宋体" w:hAnsi="宋体"/>
              </w:rPr>
              <w:t>一周内门急诊均次费用增幅(元)；</w:t>
            </w:r>
          </w:p>
          <w:p>
            <w:pPr>
              <w:pStyle w:val="137"/>
              <w:rPr>
                <w:rFonts w:ascii="宋体" w:hAnsi="宋体"/>
              </w:rPr>
            </w:pPr>
            <w:r>
              <w:rPr>
                <w:rFonts w:hint="eastAsia" w:ascii="宋体" w:hAnsi="宋体"/>
              </w:rPr>
              <w:t>当日平均等待时长(分钟)</w:t>
            </w:r>
          </w:p>
          <w:p>
            <w:pPr>
              <w:pStyle w:val="137"/>
              <w:rPr>
                <w:rFonts w:ascii="宋体" w:hAnsi="宋体"/>
              </w:rPr>
            </w:pPr>
            <w:r>
              <w:rPr>
                <w:rFonts w:hint="eastAsia" w:ascii="宋体" w:hAnsi="宋体"/>
              </w:rPr>
              <w:t>当日就诊情况</w:t>
            </w:r>
          </w:p>
          <w:p>
            <w:pPr>
              <w:pStyle w:val="137"/>
              <w:rPr>
                <w:rFonts w:ascii="宋体" w:hAnsi="宋体"/>
              </w:rPr>
            </w:pPr>
            <w:r>
              <w:rPr>
                <w:rFonts w:hint="eastAsia" w:ascii="宋体" w:hAnsi="宋体"/>
              </w:rPr>
              <w:t>当日门诊预约率(%)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1951" w:type="dxa"/>
            <w:vAlign w:val="center"/>
          </w:tcPr>
          <w:p>
            <w:pPr>
              <w:pStyle w:val="138"/>
              <w:rPr>
                <w:rFonts w:ascii="宋体" w:hAnsi="宋体"/>
              </w:rPr>
            </w:pPr>
            <w:r>
              <w:rPr>
                <w:rFonts w:hint="eastAsia" w:ascii="宋体" w:hAnsi="宋体"/>
              </w:rPr>
              <w:t>住院驾驶舱</w:t>
            </w:r>
          </w:p>
        </w:tc>
        <w:tc>
          <w:tcPr>
            <w:tcW w:w="2268" w:type="dxa"/>
            <w:vAlign w:val="center"/>
          </w:tcPr>
          <w:p>
            <w:pPr>
              <w:pStyle w:val="138"/>
              <w:rPr>
                <w:rFonts w:ascii="宋体" w:hAnsi="宋体"/>
              </w:rPr>
            </w:pPr>
            <w:r>
              <w:rPr>
                <w:rFonts w:hint="eastAsia" w:ascii="宋体" w:hAnsi="宋体"/>
              </w:rPr>
              <w:t>住院驾驶舱</w:t>
            </w:r>
          </w:p>
        </w:tc>
        <w:tc>
          <w:tcPr>
            <w:tcW w:w="5409" w:type="dxa"/>
          </w:tcPr>
          <w:p>
            <w:pPr>
              <w:pStyle w:val="138"/>
              <w:jc w:val="both"/>
              <w:rPr>
                <w:rFonts w:ascii="宋体" w:hAnsi="宋体"/>
              </w:rPr>
            </w:pPr>
            <w:r>
              <w:rPr>
                <w:rFonts w:hint="eastAsia" w:ascii="宋体" w:hAnsi="宋体"/>
              </w:rPr>
              <w:t>当日住院数据可视化展示。包含：</w:t>
            </w:r>
          </w:p>
          <w:p>
            <w:pPr>
              <w:pStyle w:val="137"/>
              <w:rPr>
                <w:rFonts w:ascii="宋体" w:hAnsi="宋体"/>
              </w:rPr>
            </w:pPr>
            <w:r>
              <w:rPr>
                <w:rFonts w:hint="eastAsia" w:ascii="宋体" w:hAnsi="宋体"/>
              </w:rPr>
              <w:t>入院信息:全年入院人次、本月入院人次、当日入院总数、全年出院人次、本月出院人次、当日出院院总数、当日在院人次；</w:t>
            </w:r>
          </w:p>
          <w:p>
            <w:pPr>
              <w:pStyle w:val="137"/>
              <w:rPr>
                <w:rFonts w:ascii="宋体" w:hAnsi="宋体"/>
              </w:rPr>
            </w:pPr>
            <w:r>
              <w:rPr>
                <w:rFonts w:hint="eastAsia" w:ascii="宋体" w:hAnsi="宋体"/>
              </w:rPr>
              <w:t>当日入院患者年龄段占比；</w:t>
            </w:r>
          </w:p>
          <w:p>
            <w:pPr>
              <w:pStyle w:val="137"/>
              <w:rPr>
                <w:rFonts w:ascii="宋体" w:hAnsi="宋体"/>
              </w:rPr>
            </w:pPr>
            <w:r>
              <w:rPr>
                <w:rFonts w:hint="eastAsia" w:ascii="宋体" w:hAnsi="宋体"/>
              </w:rPr>
              <w:t>当日入院科室工作量；</w:t>
            </w:r>
          </w:p>
          <w:p>
            <w:pPr>
              <w:pStyle w:val="137"/>
              <w:rPr>
                <w:rFonts w:ascii="宋体" w:hAnsi="宋体"/>
              </w:rPr>
            </w:pPr>
            <w:r>
              <w:rPr>
                <w:rFonts w:hint="eastAsia" w:ascii="宋体" w:hAnsi="宋体"/>
              </w:rPr>
              <w:t>一周内出院患者手术类型占比；</w:t>
            </w:r>
          </w:p>
          <w:p>
            <w:pPr>
              <w:pStyle w:val="137"/>
              <w:rPr>
                <w:rFonts w:ascii="宋体" w:hAnsi="宋体"/>
              </w:rPr>
            </w:pPr>
            <w:r>
              <w:rPr>
                <w:rFonts w:hint="eastAsia" w:ascii="宋体" w:hAnsi="宋体"/>
              </w:rPr>
              <w:t>入院就诊时间段；</w:t>
            </w:r>
          </w:p>
          <w:p>
            <w:pPr>
              <w:pStyle w:val="137"/>
              <w:rPr>
                <w:rFonts w:ascii="宋体" w:hAnsi="宋体"/>
              </w:rPr>
            </w:pPr>
            <w:r>
              <w:rPr>
                <w:rFonts w:hint="eastAsia" w:ascii="宋体" w:hAnsi="宋体"/>
              </w:rPr>
              <w:t>当日住院检验/检查人次占比；</w:t>
            </w:r>
          </w:p>
          <w:p>
            <w:pPr>
              <w:pStyle w:val="137"/>
              <w:rPr>
                <w:rFonts w:ascii="宋体" w:hAnsi="宋体"/>
              </w:rPr>
            </w:pPr>
            <w:r>
              <w:rPr>
                <w:rFonts w:hint="eastAsia" w:ascii="宋体" w:hAnsi="宋体"/>
              </w:rPr>
              <w:t>一周内出院患者手术等级占比；</w:t>
            </w:r>
          </w:p>
          <w:p>
            <w:pPr>
              <w:pStyle w:val="137"/>
              <w:rPr>
                <w:rFonts w:ascii="宋体" w:hAnsi="宋体"/>
              </w:rPr>
            </w:pPr>
            <w:r>
              <w:rPr>
                <w:rFonts w:hint="eastAsia" w:ascii="宋体" w:hAnsi="宋体"/>
              </w:rPr>
              <w:t>昨日病区床位数；</w:t>
            </w:r>
          </w:p>
          <w:p>
            <w:pPr>
              <w:pStyle w:val="137"/>
              <w:rPr>
                <w:rFonts w:ascii="宋体" w:hAnsi="宋体"/>
              </w:rPr>
            </w:pPr>
            <w:r>
              <w:rPr>
                <w:rFonts w:hint="eastAsia" w:ascii="宋体" w:hAnsi="宋体"/>
              </w:rPr>
              <w:t>住院费用趋势(万元)；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138"/>
              <w:rPr>
                <w:rFonts w:ascii="宋体" w:hAnsi="宋体"/>
              </w:rPr>
            </w:pPr>
            <w:r>
              <w:rPr>
                <w:rFonts w:hint="eastAsia" w:ascii="宋体" w:hAnsi="宋体"/>
              </w:rPr>
              <w:t>科主任</w:t>
            </w:r>
          </w:p>
        </w:tc>
        <w:tc>
          <w:tcPr>
            <w:tcW w:w="2268" w:type="dxa"/>
            <w:vAlign w:val="center"/>
          </w:tcPr>
          <w:p>
            <w:pPr>
              <w:pStyle w:val="138"/>
              <w:rPr>
                <w:rFonts w:ascii="宋体" w:hAnsi="宋体"/>
              </w:rPr>
            </w:pPr>
            <w:r>
              <w:rPr>
                <w:rFonts w:hint="eastAsia" w:ascii="宋体" w:hAnsi="宋体"/>
              </w:rPr>
              <w:t>住院科室指标统计</w:t>
            </w:r>
          </w:p>
        </w:tc>
        <w:tc>
          <w:tcPr>
            <w:tcW w:w="5409" w:type="dxa"/>
          </w:tcPr>
          <w:p>
            <w:pPr>
              <w:pStyle w:val="138"/>
              <w:jc w:val="both"/>
              <w:rPr>
                <w:rFonts w:ascii="宋体" w:hAnsi="宋体"/>
              </w:rPr>
            </w:pPr>
            <w:r>
              <w:rPr>
                <w:rFonts w:hint="eastAsia" w:ascii="宋体" w:hAnsi="宋体"/>
              </w:rPr>
              <w:t>根据自己的账号权限显示权限对应下住院科室费用类型数据及各自占比。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门诊科室指标占比统计</w:t>
            </w:r>
          </w:p>
        </w:tc>
        <w:tc>
          <w:tcPr>
            <w:tcW w:w="5409" w:type="dxa"/>
          </w:tcPr>
          <w:p>
            <w:pPr>
              <w:pStyle w:val="138"/>
              <w:jc w:val="both"/>
              <w:rPr>
                <w:rFonts w:ascii="宋体" w:hAnsi="宋体"/>
              </w:rPr>
            </w:pPr>
            <w:r>
              <w:rPr>
                <w:rFonts w:hint="eastAsia" w:ascii="宋体" w:hAnsi="宋体"/>
              </w:rPr>
              <w:t>根据自己的账号权限显示权限对应下门诊科室费用类型数据及各自占比。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门诊医生开单分析</w:t>
            </w:r>
          </w:p>
        </w:tc>
        <w:tc>
          <w:tcPr>
            <w:tcW w:w="5409" w:type="dxa"/>
          </w:tcPr>
          <w:p>
            <w:pPr>
              <w:pStyle w:val="138"/>
              <w:jc w:val="both"/>
              <w:rPr>
                <w:rFonts w:ascii="宋体" w:hAnsi="宋体"/>
              </w:rPr>
            </w:pPr>
            <w:r>
              <w:rPr>
                <w:rFonts w:hint="eastAsia" w:ascii="宋体" w:hAnsi="宋体"/>
              </w:rPr>
              <w:t>根据自己的账号权限显示权限对应的门诊科室医生开的各个收费项目的统计数据。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科室收入查询</w:t>
            </w:r>
          </w:p>
        </w:tc>
        <w:tc>
          <w:tcPr>
            <w:tcW w:w="5409" w:type="dxa"/>
          </w:tcPr>
          <w:p>
            <w:pPr>
              <w:pStyle w:val="138"/>
              <w:jc w:val="both"/>
              <w:rPr>
                <w:rFonts w:ascii="宋体" w:hAnsi="宋体"/>
              </w:rPr>
            </w:pPr>
            <w:r>
              <w:rPr>
                <w:rFonts w:hint="eastAsia" w:ascii="宋体" w:hAnsi="宋体"/>
              </w:rPr>
              <w:t>根据自己的账号权限显示权限对应的门诊和住院下各个科室产生的费用。包含：</w:t>
            </w:r>
          </w:p>
          <w:p>
            <w:pPr>
              <w:pStyle w:val="137"/>
              <w:rPr>
                <w:rFonts w:ascii="宋体" w:hAnsi="宋体"/>
              </w:rPr>
            </w:pPr>
            <w:r>
              <w:rPr>
                <w:rFonts w:hint="eastAsia" w:ascii="宋体" w:hAnsi="宋体"/>
              </w:rPr>
              <w:t>包括科室、挂号费、西药费、中成药费、中草药费、化验费、检查费、放射费、治疗费、手术费、麻醉费、护理费、床位费、输血费、输氧费、材料费、诊查费、药事服务费、医事服务费、其他费、体检、用血互助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门诊医生挂号明细统计</w:t>
            </w:r>
          </w:p>
        </w:tc>
        <w:tc>
          <w:tcPr>
            <w:tcW w:w="5409" w:type="dxa"/>
          </w:tcPr>
          <w:p>
            <w:pPr>
              <w:pStyle w:val="138"/>
              <w:jc w:val="both"/>
              <w:rPr>
                <w:rFonts w:ascii="宋体" w:hAnsi="宋体"/>
              </w:rPr>
            </w:pPr>
            <w:r>
              <w:rPr>
                <w:rFonts w:hint="eastAsia" w:ascii="宋体" w:hAnsi="宋体"/>
              </w:rPr>
              <w:t>根据自己的账号权限显示权限对应的各个科室各个级别的医生的挂号人数及产生的挂号费用的展示。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住院基药使用率</w:t>
            </w:r>
          </w:p>
        </w:tc>
        <w:tc>
          <w:tcPr>
            <w:tcW w:w="5409" w:type="dxa"/>
          </w:tcPr>
          <w:p>
            <w:pPr>
              <w:pStyle w:val="138"/>
              <w:jc w:val="both"/>
              <w:rPr>
                <w:rFonts w:ascii="宋体" w:hAnsi="宋体"/>
              </w:rPr>
            </w:pPr>
            <w:r>
              <w:rPr>
                <w:rFonts w:hint="eastAsia" w:ascii="宋体" w:hAnsi="宋体"/>
              </w:rPr>
              <w:t>根据自己的账号权限显示权限对应的住院各科室的出院人数、使用基药的人数、基药金额及出院基药人数占比。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门诊手术麻醉指标占比</w:t>
            </w:r>
          </w:p>
        </w:tc>
        <w:tc>
          <w:tcPr>
            <w:tcW w:w="5409" w:type="dxa"/>
          </w:tcPr>
          <w:p>
            <w:pPr>
              <w:pStyle w:val="138"/>
              <w:jc w:val="both"/>
              <w:rPr>
                <w:rFonts w:ascii="宋体" w:hAnsi="宋体"/>
              </w:rPr>
            </w:pPr>
            <w:r>
              <w:rPr>
                <w:rFonts w:hint="eastAsia" w:ascii="宋体" w:hAnsi="宋体"/>
              </w:rPr>
              <w:t>展示手术操作科室中来源于门诊的手术的一些费用。包含：</w:t>
            </w:r>
          </w:p>
          <w:p>
            <w:pPr>
              <w:pStyle w:val="137"/>
              <w:rPr>
                <w:rFonts w:ascii="宋体" w:hAnsi="宋体"/>
              </w:rPr>
            </w:pPr>
            <w:r>
              <w:rPr>
                <w:rFonts w:hint="eastAsia" w:ascii="宋体" w:hAnsi="宋体"/>
              </w:rPr>
              <w:t>科室、药费、药占比、检查费、检查占比、化验费、化验占比、卫生材料费、卫生材料占比、医疗性收入、医疗性占比。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住院手术麻醉指标占比</w:t>
            </w:r>
          </w:p>
        </w:tc>
        <w:tc>
          <w:tcPr>
            <w:tcW w:w="5409" w:type="dxa"/>
          </w:tcPr>
          <w:p>
            <w:pPr>
              <w:pStyle w:val="138"/>
              <w:jc w:val="both"/>
              <w:rPr>
                <w:rFonts w:ascii="宋体" w:hAnsi="宋体"/>
              </w:rPr>
            </w:pPr>
            <w:r>
              <w:rPr>
                <w:rFonts w:hint="eastAsia" w:ascii="宋体" w:hAnsi="宋体"/>
              </w:rPr>
              <w:t>展示手术操作科室中来源于住院的手术的一些费用。包含：</w:t>
            </w:r>
          </w:p>
          <w:p>
            <w:pPr>
              <w:pStyle w:val="138"/>
              <w:jc w:val="both"/>
              <w:rPr>
                <w:rFonts w:ascii="宋体" w:hAnsi="宋体"/>
              </w:rPr>
            </w:pPr>
            <w:r>
              <w:rPr>
                <w:rFonts w:hint="eastAsia" w:ascii="宋体" w:hAnsi="宋体"/>
              </w:rPr>
              <w:t>科室、药费、药占比、检查费、检查占比、化验费、化验占比、卫生材料费、卫生材料占比、医疗性收入、医疗性占比。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138"/>
              <w:rPr>
                <w:rFonts w:ascii="宋体" w:hAnsi="宋体"/>
              </w:rPr>
            </w:pPr>
            <w:r>
              <w:rPr>
                <w:rFonts w:hint="eastAsia" w:ascii="宋体" w:hAnsi="宋体"/>
              </w:rPr>
              <w:t>绩效考核</w:t>
            </w:r>
          </w:p>
        </w:tc>
        <w:tc>
          <w:tcPr>
            <w:tcW w:w="2268" w:type="dxa"/>
            <w:vMerge w:val="restart"/>
            <w:vAlign w:val="center"/>
          </w:tcPr>
          <w:p>
            <w:pPr>
              <w:pStyle w:val="138"/>
              <w:rPr>
                <w:rFonts w:ascii="宋体" w:hAnsi="宋体"/>
              </w:rPr>
            </w:pPr>
            <w:r>
              <w:rPr>
                <w:rFonts w:hint="eastAsia" w:ascii="宋体" w:hAnsi="宋体"/>
              </w:rPr>
              <w:t>门诊住院医疗服务收入占比</w:t>
            </w:r>
          </w:p>
        </w:tc>
        <w:tc>
          <w:tcPr>
            <w:tcW w:w="5409" w:type="dxa"/>
          </w:tcPr>
          <w:p>
            <w:pPr>
              <w:pStyle w:val="138"/>
              <w:jc w:val="both"/>
              <w:rPr>
                <w:rFonts w:ascii="宋体" w:hAnsi="宋体"/>
              </w:rPr>
            </w:pPr>
            <w:r>
              <w:rPr>
                <w:rFonts w:hint="eastAsia" w:ascii="宋体" w:hAnsi="宋体"/>
              </w:rPr>
              <w:t>展示门诊住院医疗服务收入趋势。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展示门诊住院医疗服务占比趋势。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估计科室分类展示门诊住院医疗服务收入一览，及医疗服务收入合计。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restart"/>
            <w:vAlign w:val="center"/>
          </w:tcPr>
          <w:p>
            <w:pPr>
              <w:pStyle w:val="138"/>
              <w:rPr>
                <w:rFonts w:ascii="宋体" w:hAnsi="宋体"/>
              </w:rPr>
            </w:pPr>
            <w:r>
              <w:rPr>
                <w:rFonts w:hint="eastAsia" w:ascii="宋体" w:hAnsi="宋体"/>
              </w:rPr>
              <w:t>出院患者手术占比</w:t>
            </w:r>
          </w:p>
        </w:tc>
        <w:tc>
          <w:tcPr>
            <w:tcW w:w="5409" w:type="dxa"/>
          </w:tcPr>
          <w:p>
            <w:pPr>
              <w:pStyle w:val="138"/>
              <w:jc w:val="both"/>
              <w:rPr>
                <w:rFonts w:ascii="宋体" w:hAnsi="宋体"/>
              </w:rPr>
            </w:pPr>
            <w:r>
              <w:rPr>
                <w:rFonts w:hint="eastAsia" w:ascii="宋体" w:hAnsi="宋体"/>
              </w:rPr>
              <w:t>根据日期展示手术量趋势。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展示各个年龄段手术人次。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展示手术量前10名的手术名称。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展示手术量前10名的疾病名称。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restart"/>
            <w:vAlign w:val="center"/>
          </w:tcPr>
          <w:p>
            <w:pPr>
              <w:pStyle w:val="138"/>
              <w:rPr>
                <w:rFonts w:ascii="宋体" w:hAnsi="宋体"/>
              </w:rPr>
            </w:pPr>
            <w:r>
              <w:rPr>
                <w:rFonts w:hint="eastAsia" w:ascii="宋体" w:hAnsi="宋体"/>
              </w:rPr>
              <w:t>门诊基药处方占比</w:t>
            </w:r>
          </w:p>
        </w:tc>
        <w:tc>
          <w:tcPr>
            <w:tcW w:w="5409" w:type="dxa"/>
          </w:tcPr>
          <w:p>
            <w:pPr>
              <w:pStyle w:val="138"/>
              <w:jc w:val="both"/>
              <w:rPr>
                <w:rFonts w:ascii="宋体" w:hAnsi="宋体"/>
              </w:rPr>
            </w:pPr>
            <w:r>
              <w:rPr>
                <w:rFonts w:hint="eastAsia" w:ascii="宋体" w:hAnsi="宋体"/>
              </w:rPr>
              <w:t>根据门诊科室划分门诊基药费用。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根据就诊时间划分门诊基药费用占比趋势。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门诊基药收入、门诊基药开方量。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根据科室展示门诊基药数据一览（基药收入、基药收入占比、基药开方数量、基药开方数量占比）。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restart"/>
            <w:vAlign w:val="center"/>
          </w:tcPr>
          <w:p>
            <w:pPr>
              <w:pStyle w:val="138"/>
              <w:rPr>
                <w:rFonts w:ascii="宋体" w:hAnsi="宋体"/>
              </w:rPr>
            </w:pPr>
            <w:r>
              <w:rPr>
                <w:rFonts w:hint="eastAsia" w:ascii="宋体" w:hAnsi="宋体"/>
              </w:rPr>
              <w:t>住院基药处方占比</w:t>
            </w:r>
          </w:p>
        </w:tc>
        <w:tc>
          <w:tcPr>
            <w:tcW w:w="5409" w:type="dxa"/>
          </w:tcPr>
          <w:p>
            <w:pPr>
              <w:pStyle w:val="138"/>
              <w:jc w:val="both"/>
              <w:rPr>
                <w:rFonts w:ascii="宋体" w:hAnsi="宋体"/>
              </w:rPr>
            </w:pPr>
            <w:r>
              <w:rPr>
                <w:rFonts w:hint="eastAsia" w:ascii="宋体" w:hAnsi="宋体"/>
              </w:rPr>
              <w:t>根据住院科室划分门诊基药费用。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根据就诊时间划分住院基药费用占比趋势。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住院基药收入、门诊基药开方量。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根据科室展示住院基药数据一览（基药收入、基药收入占比、基药开方数量、基药开方数量占比）。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手术切口愈合等级</w:t>
            </w:r>
          </w:p>
        </w:tc>
        <w:tc>
          <w:tcPr>
            <w:tcW w:w="5409" w:type="dxa"/>
          </w:tcPr>
          <w:p>
            <w:pPr>
              <w:pStyle w:val="138"/>
              <w:jc w:val="both"/>
              <w:rPr>
                <w:rFonts w:ascii="宋体" w:hAnsi="宋体"/>
              </w:rPr>
            </w:pPr>
            <w:r>
              <w:rPr>
                <w:rFonts w:hint="eastAsia" w:ascii="宋体" w:hAnsi="宋体"/>
              </w:rPr>
              <w:t>各科室0-3级手术切口的人数及切口愈合等级人数。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138"/>
              <w:rPr>
                <w:rFonts w:ascii="宋体" w:hAnsi="宋体"/>
              </w:rPr>
            </w:pPr>
            <w:r>
              <w:rPr>
                <w:rFonts w:hint="eastAsia" w:ascii="宋体" w:hAnsi="宋体"/>
              </w:rPr>
              <w:t>常用报表</w:t>
            </w:r>
          </w:p>
        </w:tc>
        <w:tc>
          <w:tcPr>
            <w:tcW w:w="2268" w:type="dxa"/>
            <w:vAlign w:val="center"/>
          </w:tcPr>
          <w:p>
            <w:pPr>
              <w:pStyle w:val="138"/>
              <w:rPr>
                <w:rFonts w:ascii="宋体" w:hAnsi="宋体"/>
              </w:rPr>
            </w:pPr>
            <w:r>
              <w:rPr>
                <w:rFonts w:hint="eastAsia" w:ascii="宋体" w:hAnsi="宋体"/>
              </w:rPr>
              <w:t>院长日报</w:t>
            </w:r>
          </w:p>
        </w:tc>
        <w:tc>
          <w:tcPr>
            <w:tcW w:w="5409" w:type="dxa"/>
          </w:tcPr>
          <w:p>
            <w:pPr>
              <w:pStyle w:val="138"/>
              <w:jc w:val="both"/>
              <w:rPr>
                <w:rFonts w:ascii="宋体" w:hAnsi="宋体"/>
              </w:rPr>
            </w:pPr>
            <w:r>
              <w:rPr>
                <w:rFonts w:hint="eastAsia" w:ascii="宋体" w:hAnsi="宋体"/>
              </w:rPr>
              <w:t>1、医疗人次分析（门诊、住院）、检查人次及消费金额分析、检验人次及消费金额分析、药占比分析图、金额分布图、手术台数、转科人数、医疗金额趋势。2、点击“报表”按钮可展示查询时间内的数据情况及上一年同一时间内的数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restart"/>
            <w:vAlign w:val="center"/>
          </w:tcPr>
          <w:p>
            <w:pPr>
              <w:pStyle w:val="138"/>
              <w:rPr>
                <w:rFonts w:ascii="宋体" w:hAnsi="宋体"/>
              </w:rPr>
            </w:pPr>
            <w:r>
              <w:rPr>
                <w:rFonts w:hint="eastAsia" w:ascii="宋体" w:hAnsi="宋体"/>
              </w:rPr>
              <w:t>在科病人费用</w:t>
            </w:r>
          </w:p>
        </w:tc>
        <w:tc>
          <w:tcPr>
            <w:tcW w:w="5409" w:type="dxa"/>
          </w:tcPr>
          <w:p>
            <w:pPr>
              <w:pStyle w:val="138"/>
              <w:jc w:val="both"/>
              <w:rPr>
                <w:rFonts w:ascii="宋体" w:hAnsi="宋体"/>
              </w:rPr>
            </w:pPr>
            <w:r>
              <w:rPr>
                <w:rFonts w:hint="eastAsia" w:ascii="宋体" w:hAnsi="宋体"/>
              </w:rPr>
              <w:t>各个在科科室产生费用。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全院费用趋势。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住院费用类型展示（科室名称、在科人数、住院天数、平均住院日、检验检查费、卫生材料费。。。。。）。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restart"/>
            <w:vAlign w:val="center"/>
          </w:tcPr>
          <w:p>
            <w:pPr>
              <w:pStyle w:val="138"/>
              <w:rPr>
                <w:rFonts w:ascii="宋体" w:hAnsi="宋体"/>
              </w:rPr>
            </w:pPr>
            <w:r>
              <w:rPr>
                <w:rFonts w:hint="eastAsia" w:ascii="宋体" w:hAnsi="宋体"/>
              </w:rPr>
              <w:t>手术科室工作统计</w:t>
            </w:r>
          </w:p>
        </w:tc>
        <w:tc>
          <w:tcPr>
            <w:tcW w:w="5409" w:type="dxa"/>
          </w:tcPr>
          <w:p>
            <w:pPr>
              <w:pStyle w:val="138"/>
              <w:jc w:val="both"/>
              <w:rPr>
                <w:rFonts w:ascii="宋体" w:hAnsi="宋体"/>
              </w:rPr>
            </w:pPr>
            <w:r>
              <w:rPr>
                <w:rFonts w:hint="eastAsia" w:ascii="宋体" w:hAnsi="宋体"/>
              </w:rPr>
              <w:t>科室手术的手术量。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手术量趋势分析。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根据手术类型划分各科室手术量。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病人费用查询</w:t>
            </w:r>
          </w:p>
        </w:tc>
        <w:tc>
          <w:tcPr>
            <w:tcW w:w="5409" w:type="dxa"/>
          </w:tcPr>
          <w:p>
            <w:pPr>
              <w:pStyle w:val="138"/>
              <w:jc w:val="both"/>
              <w:rPr>
                <w:rFonts w:ascii="宋体" w:hAnsi="宋体"/>
              </w:rPr>
            </w:pPr>
            <w:r>
              <w:rPr>
                <w:rFonts w:hint="eastAsia" w:ascii="宋体" w:hAnsi="宋体"/>
              </w:rPr>
              <w:t>全院病人的基本信息+费用，下钻到具体收费项目详细的展示。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138"/>
              <w:rPr>
                <w:rFonts w:ascii="宋体" w:hAnsi="宋体"/>
              </w:rPr>
            </w:pPr>
            <w:r>
              <w:rPr>
                <w:rFonts w:hint="eastAsia" w:ascii="宋体" w:hAnsi="宋体"/>
              </w:rPr>
              <w:t>门诊分析</w:t>
            </w:r>
          </w:p>
        </w:tc>
        <w:tc>
          <w:tcPr>
            <w:tcW w:w="2268" w:type="dxa"/>
            <w:vMerge w:val="restart"/>
            <w:vAlign w:val="center"/>
          </w:tcPr>
          <w:p>
            <w:pPr>
              <w:pStyle w:val="138"/>
              <w:rPr>
                <w:rFonts w:ascii="宋体" w:hAnsi="宋体"/>
              </w:rPr>
            </w:pPr>
            <w:r>
              <w:rPr>
                <w:rFonts w:hint="eastAsia" w:ascii="宋体" w:hAnsi="宋体"/>
              </w:rPr>
              <w:t>挂/退号人次分析</w:t>
            </w:r>
          </w:p>
        </w:tc>
        <w:tc>
          <w:tcPr>
            <w:tcW w:w="5409" w:type="dxa"/>
          </w:tcPr>
          <w:p>
            <w:pPr>
              <w:pStyle w:val="138"/>
              <w:jc w:val="both"/>
              <w:rPr>
                <w:rFonts w:ascii="宋体" w:hAnsi="宋体"/>
              </w:rPr>
            </w:pPr>
            <w:r>
              <w:rPr>
                <w:rFonts w:hint="eastAsia" w:ascii="宋体" w:hAnsi="宋体"/>
              </w:rPr>
              <w:t>各科室挂号人数及退号人数。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时间范围内挂/退号趋势。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挂/退号占比。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挂/退号一览。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restart"/>
            <w:vAlign w:val="center"/>
          </w:tcPr>
          <w:p>
            <w:pPr>
              <w:pStyle w:val="138"/>
              <w:rPr>
                <w:rFonts w:ascii="宋体" w:hAnsi="宋体"/>
              </w:rPr>
            </w:pPr>
            <w:r>
              <w:rPr>
                <w:rFonts w:hint="eastAsia" w:ascii="宋体" w:hAnsi="宋体"/>
              </w:rPr>
              <w:t>门诊病人年龄分析</w:t>
            </w:r>
          </w:p>
        </w:tc>
        <w:tc>
          <w:tcPr>
            <w:tcW w:w="5409" w:type="dxa"/>
          </w:tcPr>
          <w:p>
            <w:pPr>
              <w:pStyle w:val="138"/>
              <w:jc w:val="both"/>
              <w:rPr>
                <w:rFonts w:ascii="宋体" w:hAnsi="宋体"/>
              </w:rPr>
            </w:pPr>
            <w:r>
              <w:rPr>
                <w:rFonts w:hint="eastAsia" w:ascii="宋体" w:hAnsi="宋体"/>
              </w:rPr>
              <w:t>各年龄段门诊人次。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各年龄段门诊人次占比。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门诊病人信息一览。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预约挂号</w:t>
            </w:r>
          </w:p>
        </w:tc>
        <w:tc>
          <w:tcPr>
            <w:tcW w:w="5409" w:type="dxa"/>
          </w:tcPr>
          <w:p>
            <w:pPr>
              <w:pStyle w:val="138"/>
              <w:jc w:val="both"/>
              <w:rPr>
                <w:rFonts w:ascii="宋体" w:hAnsi="宋体"/>
              </w:rPr>
            </w:pPr>
            <w:r>
              <w:rPr>
                <w:rFonts w:hint="eastAsia" w:ascii="宋体" w:hAnsi="宋体"/>
              </w:rPr>
              <w:t>根据时间查询各个科室挂号总数、预约总数、各种预约类型预约的人数及费用，同时点击查看可以下钻到具体的日期。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门诊各项指标</w:t>
            </w:r>
          </w:p>
        </w:tc>
        <w:tc>
          <w:tcPr>
            <w:tcW w:w="5409" w:type="dxa"/>
          </w:tcPr>
          <w:p>
            <w:pPr>
              <w:pStyle w:val="138"/>
              <w:jc w:val="both"/>
              <w:rPr>
                <w:rFonts w:ascii="宋体" w:hAnsi="宋体"/>
              </w:rPr>
            </w:pPr>
            <w:r>
              <w:rPr>
                <w:rFonts w:hint="eastAsia" w:ascii="宋体" w:hAnsi="宋体"/>
              </w:rPr>
              <w:t>根据查询时间内各天的门诊产生的业务情况，如人数、费用类型、费用类型的人均费用。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门诊医保基金收入</w:t>
            </w:r>
          </w:p>
        </w:tc>
        <w:tc>
          <w:tcPr>
            <w:tcW w:w="5409" w:type="dxa"/>
          </w:tcPr>
          <w:p>
            <w:pPr>
              <w:pStyle w:val="138"/>
              <w:jc w:val="both"/>
              <w:rPr>
                <w:rFonts w:ascii="宋体" w:hAnsi="宋体"/>
              </w:rPr>
            </w:pPr>
            <w:r>
              <w:rPr>
                <w:rFonts w:hint="eastAsia" w:ascii="宋体" w:hAnsi="宋体"/>
              </w:rPr>
              <w:t>根据查询时间内各类门诊医保产生的费用。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138"/>
              <w:rPr>
                <w:rFonts w:ascii="宋体" w:hAnsi="宋体"/>
              </w:rPr>
            </w:pPr>
            <w:r>
              <w:rPr>
                <w:rFonts w:hint="eastAsia" w:ascii="宋体" w:hAnsi="宋体"/>
              </w:rPr>
              <w:t>住院分析</w:t>
            </w:r>
          </w:p>
        </w:tc>
        <w:tc>
          <w:tcPr>
            <w:tcW w:w="2268" w:type="dxa"/>
            <w:vAlign w:val="center"/>
          </w:tcPr>
          <w:p>
            <w:pPr>
              <w:pStyle w:val="138"/>
              <w:rPr>
                <w:rFonts w:ascii="宋体" w:hAnsi="宋体"/>
              </w:rPr>
            </w:pPr>
            <w:r>
              <w:rPr>
                <w:rFonts w:hint="eastAsia" w:ascii="宋体" w:hAnsi="宋体"/>
              </w:rPr>
              <w:t>科室转入转出</w:t>
            </w:r>
          </w:p>
        </w:tc>
        <w:tc>
          <w:tcPr>
            <w:tcW w:w="5409" w:type="dxa"/>
          </w:tcPr>
          <w:p>
            <w:pPr>
              <w:pStyle w:val="138"/>
              <w:jc w:val="both"/>
              <w:rPr>
                <w:rFonts w:ascii="宋体" w:hAnsi="宋体"/>
              </w:rPr>
            </w:pPr>
            <w:r>
              <w:rPr>
                <w:rFonts w:hint="eastAsia" w:ascii="宋体" w:hAnsi="宋体"/>
              </w:rPr>
              <w:t>转出、转入前5名，转入转出趋势。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restart"/>
            <w:vAlign w:val="center"/>
          </w:tcPr>
          <w:p>
            <w:pPr>
              <w:pStyle w:val="138"/>
              <w:rPr>
                <w:rFonts w:ascii="宋体" w:hAnsi="宋体"/>
              </w:rPr>
            </w:pPr>
            <w:r>
              <w:rPr>
                <w:rFonts w:hint="eastAsia" w:ascii="宋体" w:hAnsi="宋体"/>
              </w:rPr>
              <w:t>入院人次</w:t>
            </w:r>
          </w:p>
        </w:tc>
        <w:tc>
          <w:tcPr>
            <w:tcW w:w="5409" w:type="dxa"/>
          </w:tcPr>
          <w:p>
            <w:pPr>
              <w:pStyle w:val="138"/>
              <w:jc w:val="both"/>
              <w:rPr>
                <w:rFonts w:ascii="宋体" w:hAnsi="宋体"/>
              </w:rPr>
            </w:pPr>
            <w:r>
              <w:rPr>
                <w:rFonts w:hint="eastAsia" w:ascii="宋体" w:hAnsi="宋体"/>
              </w:rPr>
              <w:t>科室入院的人数。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入院人次的趋势。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查询月份内每天各科室入院的人数。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restart"/>
            <w:vAlign w:val="center"/>
          </w:tcPr>
          <w:p>
            <w:pPr>
              <w:pStyle w:val="138"/>
              <w:rPr>
                <w:rFonts w:ascii="宋体" w:hAnsi="宋体"/>
              </w:rPr>
            </w:pPr>
            <w:r>
              <w:rPr>
                <w:rFonts w:hint="eastAsia" w:ascii="宋体" w:hAnsi="宋体"/>
              </w:rPr>
              <w:t>出院病人转归</w:t>
            </w:r>
          </w:p>
        </w:tc>
        <w:tc>
          <w:tcPr>
            <w:tcW w:w="5409" w:type="dxa"/>
          </w:tcPr>
          <w:p>
            <w:pPr>
              <w:pStyle w:val="138"/>
              <w:jc w:val="both"/>
              <w:rPr>
                <w:rFonts w:ascii="宋体" w:hAnsi="宋体"/>
              </w:rPr>
            </w:pPr>
            <w:r>
              <w:rPr>
                <w:rFonts w:hint="eastAsia" w:ascii="宋体" w:hAnsi="宋体"/>
              </w:rPr>
              <w:t>各出院科室转归人数。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出院转归病人数量的占比。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出院科室转归病人数量的占比。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出院转归病人数量的趋势。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restart"/>
            <w:vAlign w:val="center"/>
          </w:tcPr>
          <w:p>
            <w:pPr>
              <w:pStyle w:val="138"/>
              <w:rPr>
                <w:rFonts w:ascii="宋体" w:hAnsi="宋体"/>
              </w:rPr>
            </w:pPr>
            <w:r>
              <w:rPr>
                <w:rFonts w:hint="eastAsia" w:ascii="宋体" w:hAnsi="宋体"/>
              </w:rPr>
              <w:t>平均住院日分析</w:t>
            </w:r>
          </w:p>
        </w:tc>
        <w:tc>
          <w:tcPr>
            <w:tcW w:w="5409" w:type="dxa"/>
          </w:tcPr>
          <w:p>
            <w:pPr>
              <w:pStyle w:val="138"/>
              <w:jc w:val="both"/>
              <w:rPr>
                <w:rFonts w:ascii="宋体" w:hAnsi="宋体"/>
              </w:rPr>
            </w:pPr>
            <w:r>
              <w:rPr>
                <w:rFonts w:hint="eastAsia" w:ascii="宋体" w:hAnsi="宋体"/>
              </w:rPr>
              <w:t>出院病人住院日趋势。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各科室平均住院日。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各科室平均住院天数。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各科室平均住院日同比，环比报表。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restart"/>
            <w:vAlign w:val="center"/>
          </w:tcPr>
          <w:p>
            <w:pPr>
              <w:pStyle w:val="138"/>
              <w:rPr>
                <w:rFonts w:ascii="宋体" w:hAnsi="宋体"/>
              </w:rPr>
            </w:pPr>
            <w:r>
              <w:rPr>
                <w:rFonts w:hint="eastAsia" w:ascii="宋体" w:hAnsi="宋体"/>
              </w:rPr>
              <w:t>住院诊疗核算</w:t>
            </w:r>
          </w:p>
        </w:tc>
        <w:tc>
          <w:tcPr>
            <w:tcW w:w="5409" w:type="dxa"/>
          </w:tcPr>
          <w:p>
            <w:pPr>
              <w:pStyle w:val="138"/>
              <w:jc w:val="both"/>
              <w:rPr>
                <w:rFonts w:ascii="宋体" w:hAnsi="宋体"/>
              </w:rPr>
            </w:pPr>
            <w:r>
              <w:rPr>
                <w:rFonts w:hint="eastAsia" w:ascii="宋体" w:hAnsi="宋体"/>
              </w:rPr>
              <w:t>诊疗收入趋势。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各科室诊疗收入占比。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住院诊疗核算报表。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restart"/>
            <w:vAlign w:val="center"/>
          </w:tcPr>
          <w:p>
            <w:pPr>
              <w:pStyle w:val="138"/>
              <w:rPr>
                <w:rFonts w:ascii="宋体" w:hAnsi="宋体"/>
              </w:rPr>
            </w:pPr>
            <w:r>
              <w:rPr>
                <w:rFonts w:hint="eastAsia" w:ascii="宋体" w:hAnsi="宋体"/>
              </w:rPr>
              <w:t>住院病种分析</w:t>
            </w:r>
          </w:p>
        </w:tc>
        <w:tc>
          <w:tcPr>
            <w:tcW w:w="5409" w:type="dxa"/>
          </w:tcPr>
          <w:p>
            <w:pPr>
              <w:pStyle w:val="138"/>
              <w:jc w:val="both"/>
              <w:rPr>
                <w:rFonts w:ascii="宋体" w:hAnsi="宋体"/>
              </w:rPr>
            </w:pPr>
            <w:r>
              <w:rPr>
                <w:rFonts w:hint="eastAsia" w:ascii="宋体" w:hAnsi="宋体"/>
              </w:rPr>
              <w:t>疾病费用前10名占比。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疾病人次前10名占比。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各费用级别总收入分析。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不同费用级别对应的疾病人数占比。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高额住院患者检测</w:t>
            </w:r>
          </w:p>
        </w:tc>
        <w:tc>
          <w:tcPr>
            <w:tcW w:w="5409" w:type="dxa"/>
          </w:tcPr>
          <w:p>
            <w:pPr>
              <w:pStyle w:val="138"/>
              <w:jc w:val="both"/>
              <w:rPr>
                <w:rFonts w:ascii="宋体" w:hAnsi="宋体"/>
              </w:rPr>
            </w:pPr>
            <w:r>
              <w:rPr>
                <w:rFonts w:hint="eastAsia" w:ascii="宋体" w:hAnsi="宋体"/>
              </w:rPr>
              <w:t>根据查询时间展示每个病人住院期间产生的费用，同时点击“查看”可以下钻到具体的项目及产生的费用。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31天再住院</w:t>
            </w:r>
          </w:p>
        </w:tc>
        <w:tc>
          <w:tcPr>
            <w:tcW w:w="5409" w:type="dxa"/>
          </w:tcPr>
          <w:p>
            <w:pPr>
              <w:pStyle w:val="138"/>
              <w:jc w:val="both"/>
              <w:rPr>
                <w:rFonts w:ascii="宋体" w:hAnsi="宋体"/>
              </w:rPr>
            </w:pPr>
            <w:r>
              <w:rPr>
                <w:rFonts w:hint="eastAsia" w:ascii="宋体" w:hAnsi="宋体"/>
              </w:rPr>
              <w:t>根据查询时间展示31天在院的数据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住院死亡数据</w:t>
            </w:r>
          </w:p>
        </w:tc>
        <w:tc>
          <w:tcPr>
            <w:tcW w:w="5409" w:type="dxa"/>
          </w:tcPr>
          <w:p>
            <w:pPr>
              <w:pStyle w:val="138"/>
              <w:jc w:val="both"/>
              <w:rPr>
                <w:rFonts w:ascii="宋体" w:hAnsi="宋体"/>
              </w:rPr>
            </w:pPr>
            <w:r>
              <w:rPr>
                <w:rFonts w:hint="eastAsia" w:ascii="宋体" w:hAnsi="宋体"/>
              </w:rPr>
              <w:t>根据查询时间展示每个年龄段、疾病前10的出院死亡人数，同时展示具体病人的死亡原因（备注：姓名需要加密）。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孕产妇死亡</w:t>
            </w:r>
          </w:p>
        </w:tc>
        <w:tc>
          <w:tcPr>
            <w:tcW w:w="5409" w:type="dxa"/>
          </w:tcPr>
          <w:p>
            <w:pPr>
              <w:pStyle w:val="138"/>
              <w:jc w:val="both"/>
              <w:rPr>
                <w:rFonts w:ascii="宋体" w:hAnsi="宋体"/>
              </w:rPr>
            </w:pPr>
            <w:r>
              <w:rPr>
                <w:rFonts w:hint="eastAsia" w:ascii="宋体" w:hAnsi="宋体"/>
              </w:rPr>
              <w:t>根据查询时间展示每个年龄段、疾病前10的孕产妇出院死亡人数，同时展示具体病人的死亡原因（备注：姓名需要加密）。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住院医保基金收入</w:t>
            </w:r>
          </w:p>
        </w:tc>
        <w:tc>
          <w:tcPr>
            <w:tcW w:w="5409" w:type="dxa"/>
          </w:tcPr>
          <w:p>
            <w:pPr>
              <w:pStyle w:val="138"/>
              <w:jc w:val="both"/>
              <w:rPr>
                <w:rFonts w:ascii="宋体" w:hAnsi="宋体"/>
              </w:rPr>
            </w:pPr>
            <w:r>
              <w:rPr>
                <w:rFonts w:hint="eastAsia" w:ascii="宋体" w:hAnsi="宋体"/>
              </w:rPr>
              <w:t>根据查询时间内各类住院医保产生的费用。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138"/>
              <w:rPr>
                <w:rFonts w:ascii="宋体" w:hAnsi="宋体"/>
              </w:rPr>
            </w:pPr>
            <w:r>
              <w:rPr>
                <w:rFonts w:hint="eastAsia" w:ascii="宋体" w:hAnsi="宋体"/>
              </w:rPr>
              <w:t>医院资源</w:t>
            </w:r>
          </w:p>
        </w:tc>
        <w:tc>
          <w:tcPr>
            <w:tcW w:w="2268" w:type="dxa"/>
            <w:vMerge w:val="restart"/>
            <w:vAlign w:val="center"/>
          </w:tcPr>
          <w:p>
            <w:pPr>
              <w:pStyle w:val="138"/>
              <w:rPr>
                <w:rFonts w:ascii="宋体" w:hAnsi="宋体"/>
              </w:rPr>
            </w:pPr>
            <w:r>
              <w:rPr>
                <w:rFonts w:hint="eastAsia" w:ascii="宋体" w:hAnsi="宋体"/>
              </w:rPr>
              <w:t>医护资源</w:t>
            </w:r>
          </w:p>
        </w:tc>
        <w:tc>
          <w:tcPr>
            <w:tcW w:w="5409" w:type="dxa"/>
          </w:tcPr>
          <w:p>
            <w:pPr>
              <w:pStyle w:val="138"/>
              <w:jc w:val="both"/>
              <w:rPr>
                <w:rFonts w:ascii="宋体" w:hAnsi="宋体"/>
              </w:rPr>
            </w:pPr>
            <w:r>
              <w:rPr>
                <w:rFonts w:hint="eastAsia" w:ascii="宋体" w:hAnsi="宋体"/>
              </w:rPr>
              <w:t>医护人员科室统计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医护人员级别统计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Merge w:val="continue"/>
            <w:vAlign w:val="center"/>
          </w:tcPr>
          <w:p>
            <w:pPr>
              <w:pStyle w:val="138"/>
              <w:rPr>
                <w:rFonts w:ascii="宋体" w:hAnsi="宋体"/>
              </w:rPr>
            </w:pPr>
          </w:p>
        </w:tc>
        <w:tc>
          <w:tcPr>
            <w:tcW w:w="5409" w:type="dxa"/>
          </w:tcPr>
          <w:p>
            <w:pPr>
              <w:pStyle w:val="138"/>
              <w:jc w:val="both"/>
              <w:rPr>
                <w:rFonts w:ascii="宋体" w:hAnsi="宋体"/>
              </w:rPr>
            </w:pPr>
            <w:r>
              <w:rPr>
                <w:rFonts w:hint="eastAsia" w:ascii="宋体" w:hAnsi="宋体"/>
              </w:rPr>
              <w:t>医护人员一览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138"/>
              <w:rPr>
                <w:rFonts w:ascii="宋体" w:hAnsi="宋体"/>
              </w:rPr>
            </w:pPr>
            <w:r>
              <w:rPr>
                <w:rFonts w:hint="eastAsia" w:ascii="宋体" w:hAnsi="宋体"/>
              </w:rPr>
              <w:t>系统管理</w:t>
            </w:r>
          </w:p>
        </w:tc>
        <w:tc>
          <w:tcPr>
            <w:tcW w:w="2268" w:type="dxa"/>
            <w:vAlign w:val="center"/>
          </w:tcPr>
          <w:p>
            <w:pPr>
              <w:pStyle w:val="138"/>
              <w:rPr>
                <w:rFonts w:ascii="宋体" w:hAnsi="宋体"/>
              </w:rPr>
            </w:pPr>
            <w:r>
              <w:rPr>
                <w:rFonts w:hint="eastAsia" w:ascii="宋体" w:hAnsi="宋体"/>
              </w:rPr>
              <w:t>用户管理</w:t>
            </w:r>
          </w:p>
        </w:tc>
        <w:tc>
          <w:tcPr>
            <w:tcW w:w="5409" w:type="dxa"/>
          </w:tcPr>
          <w:p>
            <w:pPr>
              <w:pStyle w:val="138"/>
              <w:jc w:val="both"/>
              <w:rPr>
                <w:rFonts w:ascii="宋体" w:hAnsi="宋体"/>
              </w:rPr>
            </w:pPr>
            <w:r>
              <w:rPr>
                <w:rFonts w:hint="eastAsia" w:ascii="宋体" w:hAnsi="宋体"/>
              </w:rPr>
              <w:t>编辑、删除、重置密码、新增、导入、导出、修改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角色管理</w:t>
            </w:r>
          </w:p>
        </w:tc>
        <w:tc>
          <w:tcPr>
            <w:tcW w:w="5409" w:type="dxa"/>
          </w:tcPr>
          <w:p>
            <w:pPr>
              <w:pStyle w:val="138"/>
              <w:jc w:val="both"/>
              <w:rPr>
                <w:rFonts w:ascii="宋体" w:hAnsi="宋体"/>
              </w:rPr>
            </w:pPr>
            <w:r>
              <w:rPr>
                <w:rFonts w:hint="eastAsia" w:ascii="宋体" w:hAnsi="宋体"/>
              </w:rPr>
              <w:t>编辑、删除、新增、导出、修改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菜单管理</w:t>
            </w:r>
          </w:p>
        </w:tc>
        <w:tc>
          <w:tcPr>
            <w:tcW w:w="5409" w:type="dxa"/>
          </w:tcPr>
          <w:p>
            <w:pPr>
              <w:pStyle w:val="138"/>
              <w:jc w:val="both"/>
              <w:rPr>
                <w:rFonts w:ascii="宋体" w:hAnsi="宋体"/>
              </w:rPr>
            </w:pPr>
            <w:r>
              <w:rPr>
                <w:rFonts w:hint="eastAsia" w:ascii="宋体" w:hAnsi="宋体"/>
              </w:rPr>
              <w:t>编辑、删除、新增、导出、修改、展开/折叠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部门管理</w:t>
            </w:r>
          </w:p>
        </w:tc>
        <w:tc>
          <w:tcPr>
            <w:tcW w:w="5409" w:type="dxa"/>
          </w:tcPr>
          <w:p>
            <w:pPr>
              <w:pStyle w:val="138"/>
              <w:jc w:val="both"/>
              <w:rPr>
                <w:rFonts w:ascii="宋体" w:hAnsi="宋体"/>
              </w:rPr>
            </w:pPr>
            <w:r>
              <w:rPr>
                <w:rFonts w:hint="eastAsia" w:ascii="宋体" w:hAnsi="宋体"/>
              </w:rPr>
              <w:t>编辑、删除、新增、导出、修改、展开/折叠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8"/>
              <w:rPr>
                <w:rFonts w:ascii="宋体" w:hAnsi="宋体"/>
              </w:rPr>
            </w:pPr>
          </w:p>
        </w:tc>
        <w:tc>
          <w:tcPr>
            <w:tcW w:w="2268" w:type="dxa"/>
            <w:vAlign w:val="center"/>
          </w:tcPr>
          <w:p>
            <w:pPr>
              <w:pStyle w:val="138"/>
              <w:rPr>
                <w:rFonts w:ascii="宋体" w:hAnsi="宋体"/>
              </w:rPr>
            </w:pPr>
            <w:r>
              <w:rPr>
                <w:rFonts w:hint="eastAsia" w:ascii="宋体" w:hAnsi="宋体"/>
              </w:rPr>
              <w:t>日志管理</w:t>
            </w:r>
          </w:p>
        </w:tc>
        <w:tc>
          <w:tcPr>
            <w:tcW w:w="5409" w:type="dxa"/>
          </w:tcPr>
          <w:p>
            <w:pPr>
              <w:pStyle w:val="138"/>
              <w:jc w:val="both"/>
              <w:rPr>
                <w:rFonts w:ascii="宋体" w:hAnsi="宋体"/>
              </w:rPr>
            </w:pPr>
            <w:r>
              <w:rPr>
                <w:rFonts w:hint="eastAsia" w:ascii="宋体" w:hAnsi="宋体"/>
              </w:rPr>
              <w:t>清空、删除、导出、搜索、重置</w:t>
            </w:r>
          </w:p>
        </w:tc>
      </w:tr>
    </w:tbl>
    <w:p>
      <w:pPr>
        <w:pStyle w:val="138"/>
        <w:rPr>
          <w:rFonts w:ascii="宋体" w:hAnsi="宋体"/>
        </w:rPr>
      </w:pPr>
    </w:p>
    <w:p>
      <w:pPr>
        <w:pStyle w:val="137"/>
        <w:spacing w:line="360" w:lineRule="auto"/>
        <w:rPr>
          <w:rFonts w:ascii="宋体" w:hAnsi="宋体" w:cs="宋体"/>
          <w:sz w:val="24"/>
        </w:rPr>
      </w:pPr>
      <w:r>
        <w:rPr>
          <w:rFonts w:ascii="宋体" w:hAnsi="宋体" w:cs="宋体"/>
          <w:sz w:val="24"/>
        </w:rPr>
        <w:t>4</w:t>
      </w:r>
      <w:r>
        <w:rPr>
          <w:rFonts w:hint="eastAsia" w:ascii="宋体" w:hAnsi="宋体" w:cs="宋体"/>
          <w:sz w:val="24"/>
        </w:rPr>
        <w:t>.3.3 三级公立医院绩效考核数据决策支撑</w:t>
      </w:r>
    </w:p>
    <w:p>
      <w:pPr>
        <w:pStyle w:val="137"/>
        <w:spacing w:line="360" w:lineRule="auto"/>
        <w:ind w:firstLine="560"/>
        <w:rPr>
          <w:rFonts w:ascii="宋体" w:hAnsi="宋体" w:cs="宋体"/>
          <w:sz w:val="24"/>
        </w:rPr>
      </w:pPr>
      <w:bookmarkStart w:id="26" w:name="_Hlk140491890"/>
      <w:r>
        <w:rPr>
          <w:rFonts w:hint="eastAsia" w:ascii="宋体" w:hAnsi="宋体" w:cs="宋体"/>
          <w:sz w:val="24"/>
        </w:rPr>
        <w:t>需根据《国家三级公立医院绩效考核操作手册（2023版）》要求建立起院内三级公立医院绩效考核BI决策支持和支撑体系，为医院提供指标数据获取、对照、填报、执行情况跟踪和相应绩效报表。从而推动绩效考核工作，从“事后总结/分析”到“事中监控/分析/提醒”的模式转变。建设院内公立医院绩效考核数据决策支撑体系，避免事后总结分析，推动医院向事先准备、自查管理模式转变，完成对应数据采集与准备工作：</w:t>
      </w:r>
    </w:p>
    <w:bookmarkEnd w:id="26"/>
    <w:p>
      <w:pPr>
        <w:pStyle w:val="138"/>
        <w:jc w:val="left"/>
        <w:rPr>
          <w:rFonts w:ascii="宋体" w:hAnsi="宋体"/>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693"/>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37"/>
              <w:jc w:val="center"/>
              <w:rPr>
                <w:rFonts w:ascii="宋体" w:hAnsi="宋体"/>
                <w:b/>
                <w:bCs/>
              </w:rPr>
            </w:pPr>
            <w:r>
              <w:rPr>
                <w:rFonts w:hint="eastAsia" w:ascii="宋体" w:hAnsi="宋体"/>
                <w:b/>
                <w:bCs/>
              </w:rPr>
              <w:t>一级菜单</w:t>
            </w:r>
          </w:p>
        </w:tc>
        <w:tc>
          <w:tcPr>
            <w:tcW w:w="2693" w:type="dxa"/>
            <w:vAlign w:val="center"/>
          </w:tcPr>
          <w:p>
            <w:pPr>
              <w:pStyle w:val="137"/>
              <w:jc w:val="center"/>
              <w:rPr>
                <w:rFonts w:ascii="宋体" w:hAnsi="宋体"/>
                <w:b/>
                <w:bCs/>
              </w:rPr>
            </w:pPr>
            <w:r>
              <w:rPr>
                <w:rFonts w:hint="eastAsia" w:ascii="宋体" w:hAnsi="宋体"/>
                <w:b/>
                <w:bCs/>
              </w:rPr>
              <w:t>二级菜单</w:t>
            </w:r>
          </w:p>
        </w:tc>
        <w:tc>
          <w:tcPr>
            <w:tcW w:w="4984" w:type="dxa"/>
          </w:tcPr>
          <w:p>
            <w:pPr>
              <w:pStyle w:val="137"/>
              <w:jc w:val="center"/>
              <w:rPr>
                <w:rFonts w:ascii="宋体" w:hAnsi="宋体"/>
                <w:b/>
                <w:bCs/>
              </w:rPr>
            </w:pPr>
            <w:r>
              <w:rPr>
                <w:rFonts w:hint="eastAsia" w:ascii="宋体" w:hAnsi="宋体"/>
                <w:b/>
                <w:bCs/>
              </w:rPr>
              <w:t>指标名称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137"/>
              <w:jc w:val="center"/>
              <w:rPr>
                <w:rFonts w:ascii="宋体" w:hAnsi="宋体"/>
              </w:rPr>
            </w:pPr>
            <w:r>
              <w:rPr>
                <w:rFonts w:hint="eastAsia" w:ascii="宋体" w:hAnsi="宋体"/>
              </w:rPr>
              <w:t>医疗质量</w:t>
            </w:r>
          </w:p>
        </w:tc>
        <w:tc>
          <w:tcPr>
            <w:tcW w:w="2693" w:type="dxa"/>
            <w:vMerge w:val="restart"/>
            <w:vAlign w:val="center"/>
          </w:tcPr>
          <w:p>
            <w:pPr>
              <w:pStyle w:val="137"/>
              <w:jc w:val="center"/>
              <w:rPr>
                <w:rFonts w:ascii="宋体" w:hAnsi="宋体"/>
              </w:rPr>
            </w:pPr>
            <w:r>
              <w:rPr>
                <w:rFonts w:hint="eastAsia" w:ascii="宋体" w:hAnsi="宋体"/>
              </w:rPr>
              <w:t>功能定位</w:t>
            </w:r>
          </w:p>
        </w:tc>
        <w:tc>
          <w:tcPr>
            <w:tcW w:w="4984" w:type="dxa"/>
          </w:tcPr>
          <w:p>
            <w:pPr>
              <w:pStyle w:val="137"/>
              <w:jc w:val="left"/>
              <w:rPr>
                <w:rFonts w:ascii="宋体" w:hAnsi="宋体"/>
              </w:rPr>
            </w:pPr>
            <w:r>
              <w:rPr>
                <w:rFonts w:hint="eastAsia" w:ascii="宋体" w:hAnsi="宋体"/>
              </w:rPr>
              <w:t>门诊人次数与出院人次数比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下转患者人次数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日间手术占择期手术比例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出院患者手术占比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出院患者微创手术占比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出院患者四级手术比例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特需医疗服务量占比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特需医疗服务收入占比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质量安全</w:t>
            </w:r>
          </w:p>
        </w:tc>
        <w:tc>
          <w:tcPr>
            <w:tcW w:w="4984" w:type="dxa"/>
          </w:tcPr>
          <w:p>
            <w:pPr>
              <w:pStyle w:val="137"/>
              <w:jc w:val="left"/>
              <w:rPr>
                <w:rFonts w:ascii="宋体" w:hAnsi="宋体"/>
              </w:rPr>
            </w:pPr>
            <w:r>
              <w:rPr>
                <w:rFonts w:hint="eastAsia" w:ascii="宋体" w:hAnsi="宋体"/>
              </w:rPr>
              <w:t>手术患者并发症发生率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I类切口手术部位感染率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大型医用设备检查阳性率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通过国家室间质评项目参加率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室间质评项目合格率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低风险组病例死亡率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优质护理服务病房覆盖率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单病种质量控制</w:t>
            </w:r>
          </w:p>
        </w:tc>
        <w:tc>
          <w:tcPr>
            <w:tcW w:w="4984" w:type="dxa"/>
          </w:tcPr>
          <w:p>
            <w:pPr>
              <w:pStyle w:val="137"/>
              <w:jc w:val="left"/>
              <w:rPr>
                <w:rFonts w:ascii="宋体" w:hAnsi="宋体"/>
              </w:rPr>
            </w:pPr>
            <w:r>
              <w:rPr>
                <w:rFonts w:hint="eastAsia" w:ascii="宋体" w:hAnsi="宋体"/>
              </w:rPr>
              <w:t>病种名称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收治总例数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总床日数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平均住院日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总住院费用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次均费用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死亡人数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病死率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合理用药</w:t>
            </w:r>
          </w:p>
        </w:tc>
        <w:tc>
          <w:tcPr>
            <w:tcW w:w="4984" w:type="dxa"/>
          </w:tcPr>
          <w:p>
            <w:pPr>
              <w:pStyle w:val="137"/>
              <w:jc w:val="left"/>
              <w:rPr>
                <w:rFonts w:ascii="宋体" w:hAnsi="宋体"/>
              </w:rPr>
            </w:pPr>
            <w:r>
              <w:rPr>
                <w:rFonts w:hint="eastAsia" w:ascii="宋体" w:hAnsi="宋体"/>
              </w:rPr>
              <w:t>点评处方占处方总数的比例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点评出院患者医嘱比例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抗菌药物使用强度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门诊患者基本药物处方占比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门诊患者基本药物处方使用占比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住院患者基本药物使用率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住院患者基本药物使用占比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基本药物采购品种数占比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国家基本药物配备使用金额占比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国家组织药品集中采购中标药品使用比例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国家组织药品集中采购中选药品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服务流程</w:t>
            </w:r>
          </w:p>
        </w:tc>
        <w:tc>
          <w:tcPr>
            <w:tcW w:w="4984" w:type="dxa"/>
          </w:tcPr>
          <w:p>
            <w:pPr>
              <w:pStyle w:val="137"/>
              <w:jc w:val="left"/>
              <w:rPr>
                <w:rFonts w:ascii="宋体" w:hAnsi="宋体"/>
              </w:rPr>
            </w:pPr>
            <w:r>
              <w:rPr>
                <w:rFonts w:hint="eastAsia" w:ascii="宋体" w:hAnsi="宋体"/>
              </w:rPr>
              <w:t>门诊患者平均预约诊疗率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门诊患者预约后平均等待时间（分钟）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137"/>
              <w:jc w:val="center"/>
              <w:rPr>
                <w:rFonts w:ascii="宋体" w:hAnsi="宋体"/>
              </w:rPr>
            </w:pPr>
            <w:r>
              <w:rPr>
                <w:rFonts w:hint="eastAsia" w:ascii="宋体" w:hAnsi="宋体"/>
              </w:rPr>
              <w:t>运营效率</w:t>
            </w:r>
          </w:p>
        </w:tc>
        <w:tc>
          <w:tcPr>
            <w:tcW w:w="2693" w:type="dxa"/>
            <w:vMerge w:val="restart"/>
            <w:vAlign w:val="center"/>
          </w:tcPr>
          <w:p>
            <w:pPr>
              <w:pStyle w:val="137"/>
              <w:jc w:val="center"/>
              <w:rPr>
                <w:rFonts w:ascii="宋体" w:hAnsi="宋体"/>
              </w:rPr>
            </w:pPr>
            <w:r>
              <w:rPr>
                <w:rFonts w:hint="eastAsia" w:ascii="宋体" w:hAnsi="宋体"/>
              </w:rPr>
              <w:t>资源效率</w:t>
            </w:r>
          </w:p>
        </w:tc>
        <w:tc>
          <w:tcPr>
            <w:tcW w:w="4984" w:type="dxa"/>
          </w:tcPr>
          <w:p>
            <w:pPr>
              <w:pStyle w:val="137"/>
              <w:jc w:val="left"/>
              <w:rPr>
                <w:rFonts w:ascii="宋体" w:hAnsi="宋体"/>
              </w:rPr>
            </w:pPr>
            <w:r>
              <w:rPr>
                <w:rFonts w:hint="eastAsia" w:ascii="宋体" w:hAnsi="宋体"/>
              </w:rPr>
              <w:t>每名执业医师日均住院工作负担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每百张病床药师人数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收支结构</w:t>
            </w:r>
          </w:p>
        </w:tc>
        <w:tc>
          <w:tcPr>
            <w:tcW w:w="4984" w:type="dxa"/>
          </w:tcPr>
          <w:p>
            <w:pPr>
              <w:pStyle w:val="137"/>
              <w:jc w:val="left"/>
              <w:rPr>
                <w:rFonts w:ascii="宋体" w:hAnsi="宋体"/>
              </w:rPr>
            </w:pPr>
            <w:r>
              <w:rPr>
                <w:rFonts w:hint="eastAsia" w:ascii="宋体" w:hAnsi="宋体"/>
              </w:rPr>
              <w:t>门诊收入占医疗收入比例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门诊收入中来自医保基金的比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医保基金回款率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住院收入占医疗收入比例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住院收入中来自医保基金的比例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医疗服务收入占比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辅助用药收入占比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人员支出占业务支出比重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万元收入能耗支出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医疗盈余率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费用控制</w:t>
            </w:r>
          </w:p>
        </w:tc>
        <w:tc>
          <w:tcPr>
            <w:tcW w:w="4984" w:type="dxa"/>
          </w:tcPr>
          <w:p>
            <w:pPr>
              <w:pStyle w:val="137"/>
              <w:jc w:val="left"/>
              <w:rPr>
                <w:rFonts w:ascii="宋体" w:hAnsi="宋体"/>
              </w:rPr>
            </w:pPr>
            <w:r>
              <w:rPr>
                <w:rFonts w:hint="eastAsia" w:ascii="宋体" w:hAnsi="宋体"/>
              </w:rPr>
              <w:t>医疗收入增幅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剔除有关项后的医疗收入增幅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门诊次均费用增幅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剔除有关项后的门诊次均费用增幅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门诊次均药品费用增幅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剔除有关项后的门诊次均药品费用增幅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住院次均费用增幅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剔除有关项后的住院次均费用增幅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住院次均药品费用增幅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剔除有关项后的住院次均药品费用增幅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137"/>
              <w:jc w:val="center"/>
              <w:rPr>
                <w:rFonts w:ascii="宋体" w:hAnsi="宋体"/>
              </w:rPr>
            </w:pPr>
            <w:r>
              <w:rPr>
                <w:rFonts w:hint="eastAsia" w:ascii="宋体" w:hAnsi="宋体"/>
              </w:rPr>
              <w:t>持续发展</w:t>
            </w:r>
          </w:p>
        </w:tc>
        <w:tc>
          <w:tcPr>
            <w:tcW w:w="2693" w:type="dxa"/>
            <w:vMerge w:val="restart"/>
            <w:vAlign w:val="center"/>
          </w:tcPr>
          <w:p>
            <w:pPr>
              <w:pStyle w:val="137"/>
              <w:jc w:val="center"/>
              <w:rPr>
                <w:rFonts w:ascii="宋体" w:hAnsi="宋体"/>
              </w:rPr>
            </w:pPr>
            <w:r>
              <w:rPr>
                <w:rFonts w:hint="eastAsia" w:ascii="宋体" w:hAnsi="宋体"/>
              </w:rPr>
              <w:t>人员结构</w:t>
            </w:r>
          </w:p>
        </w:tc>
        <w:tc>
          <w:tcPr>
            <w:tcW w:w="4984" w:type="dxa"/>
          </w:tcPr>
          <w:p>
            <w:pPr>
              <w:pStyle w:val="137"/>
              <w:jc w:val="left"/>
              <w:rPr>
                <w:rFonts w:ascii="宋体" w:hAnsi="宋体"/>
              </w:rPr>
            </w:pPr>
            <w:r>
              <w:rPr>
                <w:rFonts w:hint="eastAsia" w:ascii="宋体" w:hAnsi="宋体"/>
              </w:rPr>
              <w:t>卫生技术人员职称结构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麻醉医师占比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儿科医师占比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重症医师占比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病理医师占比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中医医师占比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感染性疾病科医师占比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医护比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人员培养</w:t>
            </w:r>
          </w:p>
        </w:tc>
        <w:tc>
          <w:tcPr>
            <w:tcW w:w="4984" w:type="dxa"/>
          </w:tcPr>
          <w:p>
            <w:pPr>
              <w:pStyle w:val="137"/>
              <w:jc w:val="left"/>
              <w:rPr>
                <w:rFonts w:ascii="宋体" w:hAnsi="宋体"/>
              </w:rPr>
            </w:pPr>
            <w:r>
              <w:rPr>
                <w:rFonts w:hint="eastAsia" w:ascii="宋体" w:hAnsi="宋体"/>
              </w:rPr>
              <w:t>对口支援医院进修人员并返回原医院人员占比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医联体内医院进修人员并返回原医院人员占比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其他医院进修人员并返回原医院人员占比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医院住院医师首次参加医师资格考试通过率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医院住院医师首次参加住院医师规范化培训结业考核通过率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住院医师规范化培训招收完成率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全科专业住院医师规范化培训招收完成率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儿科（含儿外科）专业住院医师规范化培训招收完成率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精神科专业住院医师规范化培训招收完成率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妇产科专业住院医师规范化培训招收完成率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麻醉科专业住院医师规范化培训招收完成率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医院在医学人才培养方面的经费投入占比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临床带教教师和指导医师接受教育教学培训占比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医院医学教育专职管理人员数与医院教育培训学员数之比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发表教学文章数与卫生技术人员数之比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省部级及以上教育教学课题数与卫生技术人员数之比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国家级继续医学教育项目数与卫生技术人员数之比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学科建设</w:t>
            </w:r>
          </w:p>
        </w:tc>
        <w:tc>
          <w:tcPr>
            <w:tcW w:w="4984" w:type="dxa"/>
          </w:tcPr>
          <w:p>
            <w:pPr>
              <w:pStyle w:val="137"/>
              <w:jc w:val="left"/>
              <w:rPr>
                <w:rFonts w:ascii="宋体" w:hAnsi="宋体"/>
              </w:rPr>
            </w:pPr>
            <w:r>
              <w:rPr>
                <w:rFonts w:hint="eastAsia" w:ascii="宋体" w:hAnsi="宋体"/>
              </w:rPr>
              <w:t>每百名卫生技术人员科研项目经费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每百名卫生技术人员科研成果转化金额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37"/>
              <w:jc w:val="center"/>
              <w:rPr>
                <w:rFonts w:ascii="宋体" w:hAnsi="宋体"/>
              </w:rPr>
            </w:pPr>
            <w:r>
              <w:rPr>
                <w:rFonts w:hint="eastAsia" w:ascii="宋体" w:hAnsi="宋体"/>
              </w:rPr>
              <w:t>新增指标</w:t>
            </w:r>
          </w:p>
        </w:tc>
        <w:tc>
          <w:tcPr>
            <w:tcW w:w="2693" w:type="dxa"/>
            <w:vAlign w:val="center"/>
          </w:tcPr>
          <w:p>
            <w:pPr>
              <w:pStyle w:val="137"/>
              <w:jc w:val="center"/>
              <w:rPr>
                <w:rFonts w:ascii="宋体" w:hAnsi="宋体"/>
              </w:rPr>
            </w:pPr>
            <w:r>
              <w:rPr>
                <w:rFonts w:hint="eastAsia" w:ascii="宋体" w:hAnsi="宋体"/>
              </w:rPr>
              <w:t>新增指标</w:t>
            </w:r>
          </w:p>
        </w:tc>
        <w:tc>
          <w:tcPr>
            <w:tcW w:w="4984" w:type="dxa"/>
          </w:tcPr>
          <w:p>
            <w:pPr>
              <w:pStyle w:val="137"/>
              <w:jc w:val="left"/>
              <w:rPr>
                <w:rFonts w:ascii="宋体" w:hAnsi="宋体"/>
              </w:rPr>
            </w:pPr>
            <w:r>
              <w:rPr>
                <w:rFonts w:hint="eastAsia" w:ascii="宋体" w:hAnsi="宋体"/>
              </w:rPr>
              <w:t>重点监控高值医用耗材收入占比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37"/>
              <w:jc w:val="center"/>
              <w:rPr>
                <w:rFonts w:ascii="宋体" w:hAnsi="宋体"/>
              </w:rPr>
            </w:pPr>
            <w:r>
              <w:rPr>
                <w:rFonts w:hint="eastAsia" w:ascii="宋体" w:hAnsi="宋体"/>
              </w:rPr>
              <w:t>绩效填报</w:t>
            </w:r>
          </w:p>
        </w:tc>
        <w:tc>
          <w:tcPr>
            <w:tcW w:w="2693" w:type="dxa"/>
            <w:vAlign w:val="center"/>
          </w:tcPr>
          <w:p>
            <w:pPr>
              <w:pStyle w:val="137"/>
              <w:jc w:val="center"/>
              <w:rPr>
                <w:rFonts w:ascii="宋体" w:hAnsi="宋体"/>
              </w:rPr>
            </w:pPr>
          </w:p>
        </w:tc>
        <w:tc>
          <w:tcPr>
            <w:tcW w:w="4984" w:type="dxa"/>
          </w:tcPr>
          <w:p>
            <w:pPr>
              <w:pStyle w:val="137"/>
              <w:jc w:val="left"/>
              <w:rPr>
                <w:rFonts w:ascii="宋体" w:hAnsi="宋体"/>
              </w:rPr>
            </w:pPr>
          </w:p>
        </w:tc>
      </w:tr>
    </w:tbl>
    <w:p>
      <w:pPr>
        <w:pStyle w:val="138"/>
        <w:jc w:val="left"/>
        <w:rPr>
          <w:rFonts w:ascii="宋体" w:hAnsi="宋体"/>
        </w:rPr>
      </w:pPr>
    </w:p>
    <w:p>
      <w:pPr>
        <w:pStyle w:val="137"/>
        <w:spacing w:line="360" w:lineRule="auto"/>
        <w:rPr>
          <w:rFonts w:ascii="宋体" w:hAnsi="宋体" w:cs="宋体"/>
          <w:sz w:val="24"/>
        </w:rPr>
      </w:pPr>
      <w:r>
        <w:rPr>
          <w:rFonts w:ascii="宋体" w:hAnsi="宋体" w:cs="宋体"/>
          <w:sz w:val="24"/>
        </w:rPr>
        <w:t>4</w:t>
      </w:r>
      <w:r>
        <w:rPr>
          <w:rFonts w:hint="eastAsia" w:ascii="宋体" w:hAnsi="宋体" w:cs="宋体"/>
          <w:sz w:val="24"/>
        </w:rPr>
        <w:t>.3.4 三级医院等级评审数据决策支撑</w:t>
      </w:r>
    </w:p>
    <w:p>
      <w:pPr>
        <w:pStyle w:val="137"/>
        <w:spacing w:line="360" w:lineRule="auto"/>
        <w:ind w:firstLine="560"/>
        <w:rPr>
          <w:rFonts w:ascii="宋体" w:hAnsi="宋体" w:cs="宋体"/>
          <w:sz w:val="24"/>
        </w:rPr>
      </w:pPr>
      <w:r>
        <w:rPr>
          <w:rFonts w:hint="eastAsia" w:ascii="宋体" w:hAnsi="宋体" w:cs="宋体"/>
          <w:sz w:val="24"/>
        </w:rPr>
        <w:t>需根据《三级医院评审标准（2022年版）》要求建立起院内三级医院评审BI决策支持和支撑体系，为医院提供指标数据获取、对照、填报、执行情况跟踪和相应报表。从而推动三甲复评工作，从“事后总结/分析”到“事中监控/分析/提醒”的模式转变。满足国家卫健委“三级医院评审标准（2022年版）”中第二部分“医疗服务能力与质量安全监测数据”中的支撑体系，助力医院三甲复评工作推进。以三甲复评为抓手不断提升自身医疗能力；加强领导、真抓实干，进一步加强医院管理及诊疗工作建设。院内三级医院等级评审数据决策支撑体系，避免事后总结分析，推动医院向事先准备、自查管理模式转变，完成对应数据采集与准备工作：</w:t>
      </w:r>
    </w:p>
    <w:p>
      <w:pPr>
        <w:pStyle w:val="138"/>
        <w:jc w:val="left"/>
        <w:rPr>
          <w:rFonts w:ascii="宋体" w:hAnsi="宋体"/>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693"/>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137"/>
              <w:jc w:val="center"/>
              <w:rPr>
                <w:rFonts w:ascii="宋体" w:hAnsi="宋体"/>
                <w:b/>
                <w:bCs/>
              </w:rPr>
            </w:pPr>
            <w:r>
              <w:rPr>
                <w:rFonts w:hint="eastAsia" w:ascii="宋体" w:hAnsi="宋体"/>
                <w:b/>
                <w:bCs/>
              </w:rPr>
              <w:t>一级菜单</w:t>
            </w:r>
          </w:p>
        </w:tc>
        <w:tc>
          <w:tcPr>
            <w:tcW w:w="2693" w:type="dxa"/>
          </w:tcPr>
          <w:p>
            <w:pPr>
              <w:pStyle w:val="137"/>
              <w:jc w:val="center"/>
              <w:rPr>
                <w:rFonts w:ascii="宋体" w:hAnsi="宋体"/>
                <w:b/>
                <w:bCs/>
              </w:rPr>
            </w:pPr>
            <w:r>
              <w:rPr>
                <w:rFonts w:hint="eastAsia" w:ascii="宋体" w:hAnsi="宋体"/>
                <w:b/>
                <w:bCs/>
              </w:rPr>
              <w:t>二级菜单</w:t>
            </w:r>
          </w:p>
        </w:tc>
        <w:tc>
          <w:tcPr>
            <w:tcW w:w="4984" w:type="dxa"/>
          </w:tcPr>
          <w:p>
            <w:pPr>
              <w:pStyle w:val="137"/>
              <w:jc w:val="center"/>
              <w:rPr>
                <w:rFonts w:ascii="宋体" w:hAnsi="宋体"/>
                <w:b/>
                <w:bCs/>
              </w:rPr>
            </w:pPr>
            <w:r>
              <w:rPr>
                <w:rFonts w:hint="eastAsia" w:ascii="宋体" w:hAnsi="宋体"/>
                <w:b/>
                <w:bCs/>
              </w:rPr>
              <w:t>指标名称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137"/>
              <w:jc w:val="center"/>
              <w:rPr>
                <w:rFonts w:ascii="宋体" w:hAnsi="宋体"/>
              </w:rPr>
            </w:pPr>
            <w:r>
              <w:rPr>
                <w:rFonts w:hint="eastAsia" w:ascii="宋体" w:hAnsi="宋体"/>
              </w:rPr>
              <w:t>第二部分</w:t>
            </w:r>
          </w:p>
        </w:tc>
        <w:tc>
          <w:tcPr>
            <w:tcW w:w="2693" w:type="dxa"/>
            <w:vMerge w:val="restart"/>
            <w:vAlign w:val="center"/>
          </w:tcPr>
          <w:p>
            <w:pPr>
              <w:pStyle w:val="137"/>
              <w:jc w:val="center"/>
              <w:rPr>
                <w:rFonts w:ascii="宋体" w:hAnsi="宋体"/>
              </w:rPr>
            </w:pPr>
            <w:r>
              <w:rPr>
                <w:rFonts w:hint="eastAsia" w:ascii="宋体" w:hAnsi="宋体"/>
              </w:rPr>
              <w:t>第一章</w:t>
            </w:r>
          </w:p>
        </w:tc>
        <w:tc>
          <w:tcPr>
            <w:tcW w:w="4984" w:type="dxa"/>
          </w:tcPr>
          <w:p>
            <w:pPr>
              <w:pStyle w:val="137"/>
              <w:jc w:val="left"/>
              <w:rPr>
                <w:rFonts w:ascii="宋体" w:hAnsi="宋体"/>
              </w:rPr>
            </w:pPr>
            <w:r>
              <w:rPr>
                <w:rFonts w:hint="eastAsia" w:ascii="宋体" w:hAnsi="宋体"/>
              </w:rPr>
              <w:t>核定床位数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卫生技术人员数与开放床位数比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医院感染管理专职人员数与开放床位数比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固定急诊护士人数占急诊在岗护士人数的比例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重症医学科护士人数与重症医学科开放床位数比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麻醉科医师和手术科室医师比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中医科中医类别医师人数与中医科开放床位数比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康复科医师人数与康复科开放床位数比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固定医师人数占感染性疾病科在岗医师人数的比例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可转换感染性疾病床位数占医院开放床位数的比例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人员支出占业务支出的比重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实际开放床位数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全院护士人数与开放床位数比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药学专业技术人员数与卫生专业技术人员数比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重症医学科开放床位数占医院开放床位数的比例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麻醉科医师数与手术间数比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手术间麻醉护士与实际开放手术台的数量比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中医科护士人数与中医科开放床位数比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康复科康复师人数与康复科开放床位数比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固定护士人数占感染性疾病科在岗护士人数的比例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相关手术科室年手术人次占其出院人次比例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床位使用率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病区护士人数与开放床位数比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固定急诊医师人数占急诊在岗医师人数的比例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重症医学科医师人数与重症医学科开放床位数比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麻醉科医师数与日均全麻手术台次比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中医科开放床位数占医院开放床位数的比例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康复科开放床位数占医院开放床位数的比例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康复科护士人数与康复科开放床位数比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感染性疾病科开放床位数占医院开放床位数的比例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开放床位使用率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每百名卫生技术人员科研项目经费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每百名卫生技术人员科技成果转化金额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每百名卫生技术人员发明专利数量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每百名卫生技术人员实用新型专利数量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医院住院医师首次参加住院医师规范化培训结业考核通过率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第二章</w:t>
            </w:r>
          </w:p>
        </w:tc>
        <w:tc>
          <w:tcPr>
            <w:tcW w:w="4984" w:type="dxa"/>
          </w:tcPr>
          <w:p>
            <w:pPr>
              <w:pStyle w:val="137"/>
              <w:jc w:val="left"/>
              <w:rPr>
                <w:rFonts w:ascii="宋体" w:hAnsi="宋体"/>
              </w:rPr>
            </w:pPr>
            <w:r>
              <w:rPr>
                <w:rFonts w:hint="eastAsia" w:ascii="宋体" w:hAnsi="宋体"/>
              </w:rPr>
              <w:t>收治病种数量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ascii="宋体" w:hAnsi="宋体"/>
              </w:rPr>
              <w:t>DRG-CMI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手术患者住院死亡率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ICD 低风险病种患者住院死亡率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住院术种数量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DRG时间指数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患者住院总死亡率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住院患者出院后 0-31天非预期再住院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DRGs 低风险组患者住院死亡率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DRG-DRGs组数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DRG费用指数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新生儿患者住院死亡率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手术患者术后48小时内非预期重返手术室 再次手术率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手术患者术后31天内非预期重返手术室 再次手术率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1、手术患者手术后肺栓塞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2、手术患者手术后深静脉血栓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3、手术患者手术后脓毒症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4、手术患者手术后出血或血肿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5、手术患者手术伤口裂开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6、手术患者手术后猝死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7、手术患者手术后呼吸衰竭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8、手术患者手术后生理/代谢紊乱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9、与手术/操作相关感染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10、手术过程中异物遗留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11、手术患者麻醉并发症/代谢紊乱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12、手术患者肺部感染与肺机能不全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13、手术意外穿刺伤或撕裂伤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14、手术后急性肾衰竭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15、各系统/器官术后并发症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16、植入物的并发症（不包括脓毒症）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17、移植的并发症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18、再植和截肢的并发症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19、介入操作与手术后患者其他并发症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20、新生儿产伤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21、阴道分娩产妇分娩或产褥期并发症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22、剖宫产分娩产妇分娩或产褥期并发症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23、2期及以上院内压力性损伤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24、输注反应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25、输血反应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26、医源性气胸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27、住院患者医院内跌倒/坠床所致髋部骨折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28、住院ICU患者呼吸机相关性肺炎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29、住院ICU患者血管导管相关性感染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30、住院ICU患者导尿管相关性尿路感染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31、临床用药所致的有害效应（不良事件）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32、血液透析所致并发症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137"/>
              <w:jc w:val="center"/>
              <w:rPr>
                <w:rFonts w:ascii="宋体" w:hAnsi="宋体"/>
              </w:rPr>
            </w:pPr>
            <w:r>
              <w:rPr>
                <w:rFonts w:hint="eastAsia" w:ascii="宋体" w:hAnsi="宋体"/>
              </w:rPr>
              <w:t>第二部分</w:t>
            </w:r>
          </w:p>
        </w:tc>
        <w:tc>
          <w:tcPr>
            <w:tcW w:w="2693" w:type="dxa"/>
            <w:vMerge w:val="restart"/>
            <w:vAlign w:val="center"/>
          </w:tcPr>
          <w:p>
            <w:pPr>
              <w:pStyle w:val="137"/>
              <w:jc w:val="center"/>
              <w:rPr>
                <w:rFonts w:ascii="宋体" w:hAnsi="宋体"/>
              </w:rPr>
            </w:pPr>
            <w:r>
              <w:rPr>
                <w:rFonts w:hint="eastAsia" w:ascii="宋体" w:hAnsi="宋体"/>
              </w:rPr>
              <w:t>重症医学专业</w:t>
            </w:r>
          </w:p>
        </w:tc>
        <w:tc>
          <w:tcPr>
            <w:tcW w:w="4984" w:type="dxa"/>
          </w:tcPr>
          <w:p>
            <w:pPr>
              <w:pStyle w:val="137"/>
              <w:jc w:val="left"/>
              <w:rPr>
                <w:rFonts w:ascii="宋体" w:hAnsi="宋体"/>
              </w:rPr>
            </w:pPr>
            <w:r>
              <w:rPr>
                <w:rFonts w:hint="eastAsia" w:ascii="宋体" w:hAnsi="宋体"/>
              </w:rPr>
              <w:t>1.1、ICU患者收治率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1.2、ICU患者收治床日率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2、（APACHEⅡ评分）≥15分患者收治率（入ICU24小时内）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3、感染性休克3h集束化治疗（bundle）完成率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4、感染性休克 6h集束化治疗（bundle）完成率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5、ICU抗菌药物治疗前病原学送检率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6、ICU深静脉血栓（DVT）预防率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7、ICU患者预计病死率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8、ICU患者标化病死指数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9、ICU非计划气管插管拔管率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10、ICU气管插管拔管后48h内再插管率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11、非计划转入ICU率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12、转出ICU后48h内重返率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13、ICU呼吸机相关性肺炎发病率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14、ICU血管内导管相关血流感染发病率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15、ICU导尿管相关泌尿系感染发病率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急诊专业</w:t>
            </w:r>
          </w:p>
        </w:tc>
        <w:tc>
          <w:tcPr>
            <w:tcW w:w="4984" w:type="dxa"/>
          </w:tcPr>
          <w:p>
            <w:pPr>
              <w:pStyle w:val="137"/>
              <w:jc w:val="left"/>
              <w:rPr>
                <w:rFonts w:ascii="宋体" w:hAnsi="宋体"/>
              </w:rPr>
            </w:pPr>
            <w:r>
              <w:rPr>
                <w:rFonts w:hint="eastAsia" w:ascii="宋体" w:hAnsi="宋体"/>
              </w:rPr>
              <w:t>1、急诊科医患比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2、急诊科护患比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3、急诊各级患者比例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4、抢救室滞留时间中位数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5.1、急性心肌梗死患者平均门药时间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5.2、急性心肌梗死患者门药时间达标率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6.1、急性心肌梗死患者平均门球时间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6.2、急性心肌梗死患者门球时间达标率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7、急诊抢救室患者死亡率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8、急诊手术患者死亡率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9、ROSC成功率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10、非计划重返抢救室率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临床检验专业</w:t>
            </w:r>
          </w:p>
        </w:tc>
        <w:tc>
          <w:tcPr>
            <w:tcW w:w="4984" w:type="dxa"/>
          </w:tcPr>
          <w:p>
            <w:pPr>
              <w:pStyle w:val="137"/>
              <w:jc w:val="left"/>
              <w:rPr>
                <w:rFonts w:ascii="宋体" w:hAnsi="宋体"/>
              </w:rPr>
            </w:pPr>
            <w:r>
              <w:rPr>
                <w:rFonts w:hint="eastAsia" w:ascii="宋体" w:hAnsi="宋体"/>
              </w:rPr>
              <w:t>1、标本类型错误率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2、标本容器错误率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3、标本采集量错误率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4、血培养污染率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5、抗凝标本凝集率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6、检验前周转时间中位数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7、室内质控项目开展率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8、室内质控项目变异系数不合格率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9、室间质评项目参加率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10、室间质评项目不合格率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11、实验室间比对率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12、实验室内周转时间中位数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13、检验报告不正确率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14、危急值通报率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15、危急值通报及时率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病理专业</w:t>
            </w:r>
          </w:p>
        </w:tc>
        <w:tc>
          <w:tcPr>
            <w:tcW w:w="4984" w:type="dxa"/>
          </w:tcPr>
          <w:p>
            <w:pPr>
              <w:pStyle w:val="137"/>
              <w:jc w:val="left"/>
              <w:rPr>
                <w:rFonts w:ascii="宋体" w:hAnsi="宋体"/>
              </w:rPr>
            </w:pPr>
            <w:r>
              <w:rPr>
                <w:rFonts w:hint="eastAsia" w:ascii="宋体" w:hAnsi="宋体"/>
              </w:rPr>
              <w:t>1、每百张病床病理医师数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2、每百张病床病理技术人员数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3、标本规范化固定率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4、HE染色切片优良率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5、免疫组化染色切片优良率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6、术中快速病理诊断及时率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7、组织病理诊断及时率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8、细胞病理诊断及时率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9、各项分子病理检测室内质控合格率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10、免疫组化染色室间质评合格率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11、各项分子病理室间质评合格率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12、细胞学病理诊断质控符合率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13、术中快速诊断与石蜡诊断符合率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医院感染管理</w:t>
            </w:r>
          </w:p>
        </w:tc>
        <w:tc>
          <w:tcPr>
            <w:tcW w:w="4984" w:type="dxa"/>
          </w:tcPr>
          <w:p>
            <w:pPr>
              <w:pStyle w:val="137"/>
              <w:jc w:val="left"/>
              <w:rPr>
                <w:rFonts w:ascii="宋体" w:hAnsi="宋体"/>
              </w:rPr>
            </w:pPr>
            <w:r>
              <w:rPr>
                <w:rFonts w:hint="eastAsia" w:ascii="宋体" w:hAnsi="宋体"/>
              </w:rPr>
              <w:t>1、医院感染发病率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2、医院感染现患率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3、医院感染病例漏报率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4、多重耐药菌感染发现率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5、多重耐药菌感染检出率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6、医务人员手卫生依从率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7、住院患者抗菌药物使用率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8、抗菌药物治疗前病原学送检率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9、I类切口手术部位感染率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10、I类切口手术抗菌药物预防使用率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11、血管内导管相关血流感染发病率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12、呼吸机相关肺炎发病率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13、导尿管相关泌尿系感染发病率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临床用血</w:t>
            </w:r>
          </w:p>
        </w:tc>
        <w:tc>
          <w:tcPr>
            <w:tcW w:w="4984" w:type="dxa"/>
          </w:tcPr>
          <w:p>
            <w:pPr>
              <w:pStyle w:val="137"/>
              <w:jc w:val="left"/>
              <w:rPr>
                <w:rFonts w:ascii="宋体" w:hAnsi="宋体"/>
              </w:rPr>
            </w:pPr>
            <w:r>
              <w:rPr>
                <w:rFonts w:hint="eastAsia" w:ascii="宋体" w:hAnsi="宋体"/>
              </w:rPr>
              <w:t>1、每千单位用血输血专业技术人员数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2、《临床输血申请单》合格率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3、受血者标本血型复查率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4、输血相容性检测项目室内质控率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5、输血相容性检测室间质评项目参加率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6、千输血人次输血不良反应上报例数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7、一二级手术台均用血量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8、三四级手术台均用血量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9、手术患者自体输血率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10、出院患者人均用血量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11、血管内导管相关血流感染发病率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12、呼吸机相关肺炎发病率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13、导尿管相关泌尿系感染发病率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呼吸内科专业</w:t>
            </w:r>
          </w:p>
        </w:tc>
        <w:tc>
          <w:tcPr>
            <w:tcW w:w="4984" w:type="dxa"/>
          </w:tcPr>
          <w:p>
            <w:pPr>
              <w:pStyle w:val="137"/>
              <w:jc w:val="left"/>
              <w:rPr>
                <w:rFonts w:ascii="宋体" w:hAnsi="宋体"/>
              </w:rPr>
            </w:pPr>
            <w:r>
              <w:rPr>
                <w:rFonts w:hint="eastAsia" w:ascii="宋体" w:hAnsi="宋体"/>
              </w:rPr>
              <w:t>1.1、急性 PTE 患者确诊检查比例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1.2、急性 PTE 患者行深静脉血栓相关检查比例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1.3、急性PTE患者行危险分层相关检查比例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1.4、住院期间行溶栓治疗的高危急性PTE患者比例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1.5、急性PTE患者住院期间抗凝治疗比例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1.6、急性PTE患者住院死亡率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1.7、急性PTE患者住院期间发生大出血比例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2.1、慢阻肺急性加重患者住院期间行动脉血气分析比例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2.2、慢阻肺急性加重患者住院期间胸部影像学检查比例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2.3、慢阻肺急性加重患者住院期间心电图检查比例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2.4、慢阻肺急性加重患者住院期间超声心动图检查比例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2.5、慢阻肺急性加重患者住院期间抗感染治疗前病原学送检比例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2.6、慢阻肺急性加重患者住院期间雾化吸入支气管扩张剂应用比例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2.7、慢阻肺急性加重患者住院死亡率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2.8、使用有创机械通气的慢阻肺急性加重患者死亡率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3.1、住院成人社区获得性肺炎(CAP)患者进行CAP严重程度评估的比例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3.2、低危CAP患者住院比例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"3.3、CAP 患者住院期间抗感染治疗前病原学送检比例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3.4、CAP患者住院死亡率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3.5、住院CAP患者接受机械通气的比例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产科专业</w:t>
            </w:r>
          </w:p>
        </w:tc>
        <w:tc>
          <w:tcPr>
            <w:tcW w:w="4984" w:type="dxa"/>
          </w:tcPr>
          <w:p>
            <w:pPr>
              <w:pStyle w:val="137"/>
              <w:jc w:val="left"/>
              <w:rPr>
                <w:rFonts w:ascii="宋体" w:hAnsi="宋体"/>
              </w:rPr>
            </w:pPr>
            <w:r>
              <w:rPr>
                <w:rFonts w:hint="eastAsia" w:ascii="宋体" w:hAnsi="宋体"/>
              </w:rPr>
              <w:t>1.1、剖宫产率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1.2、初产妇剖宫产率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2、阴道分娩椎管内麻醉使用率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3.1、早产率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3.2、早期早产率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4、巨大儿发生率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5、严重产后出血发生率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6、严重产后出血患者输血率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7、孕产妇死亡活产比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8、妊娠相关子宫切除率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9、产后或术后非计划再次手术率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10、足月新生儿5分钟Apgar评分＜7分发生率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癫痫</w:t>
            </w:r>
          </w:p>
        </w:tc>
        <w:tc>
          <w:tcPr>
            <w:tcW w:w="4984" w:type="dxa"/>
          </w:tcPr>
          <w:p>
            <w:pPr>
              <w:pStyle w:val="137"/>
              <w:jc w:val="left"/>
              <w:rPr>
                <w:rFonts w:ascii="宋体" w:hAnsi="宋体"/>
              </w:rPr>
            </w:pPr>
            <w:r>
              <w:rPr>
                <w:rFonts w:hint="eastAsia" w:ascii="宋体" w:hAnsi="宋体"/>
              </w:rPr>
              <w:t>1.癫痫发作频率记录率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2、抗癫痫药物规范服用率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3、抗癫痫药物严重不良反应发生率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4、癫痫患者病因学检查完成率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5、癫痫患者精神行为共患病筛查率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6、育龄期女性癫痫患者妊娠宣教执行率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7、癫痫患者择期手术在院死亡率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8、癫痫患者术后并发症发生率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9、癫痫患者术后病理明确率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10、癫痫手术患者出院时继续抗癫痫药物治疗率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11、惊厥性癫痫持续状态发作控制率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12、惊厥性癫痫持续状态初始治疗标准方案应用率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13、难治性惊厥性癫痫持续状态患者麻醉药物应用率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14、难治性惊厥性癫痫持续状态患者气管插管或机械通气应用率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15、在院惊厥性癫痫持续状态患者脑电监测率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16、在院惊厥性癫痫持续状态患者影像检查率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17、在院惊厥性癫痫持续状态患者脑脊液检查率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18、在院期间惊厥性癫痫持续状态患者病因明确率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19、惊厥性癫痫持续状态患者在院死亡率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20、惊厥性癫痫持续状态患者随访（出院 30 天内）死亡率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脑梗死</w:t>
            </w:r>
          </w:p>
        </w:tc>
        <w:tc>
          <w:tcPr>
            <w:tcW w:w="4984" w:type="dxa"/>
          </w:tcPr>
          <w:p>
            <w:pPr>
              <w:pStyle w:val="137"/>
              <w:jc w:val="left"/>
              <w:rPr>
                <w:rFonts w:ascii="宋体" w:hAnsi="宋体"/>
              </w:rPr>
            </w:pPr>
            <w:r>
              <w:rPr>
                <w:rFonts w:hint="eastAsia" w:ascii="宋体" w:hAnsi="宋体"/>
              </w:rPr>
              <w:t>1.脑梗死患者神经功能缺损评估率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2、发病24小时内脑梗死患者急诊就诊30分钟内完成头颅CT影像学检查率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3、发病24小时内脑梗死患者急诊就诊45分钟内临床实验室检查完成率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4、发病4.5小时内脑梗死患者静脉溶栓率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5、静脉溶栓的脑梗死患者到院到给药时间小于60分钟的比例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6、发病6小时内前循环大血管闭塞性脑梗死患者血管内治疗率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7、脑梗死患者入院48小时内抗血小板药物治疗率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8、非致残性脑梗死患者发病24小时内双重强化抗血小板药物治疗率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9、不能自行行走的脑梗死患者入院48小时内深静脉血栓预防率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10、脑梗死患者住院7天内血管评价率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11、住院期间脑梗死患者他汀类药物治疗率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12、住院期间合并房颤的脑梗死患者抗凝治疗率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13、脑梗死患者吞咽功能筛查率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14、脑梗死患者康复评估率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15.1、出院时脑梗死患者抗栓治疗率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15.2、出院时脑梗死患者他汀药物治疗率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16.1、出院时合并高血压的脑梗死患者降压治疗率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16.2、出院时合并糖尿病的脑梗死患者降糖药物治疗率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16.3、出院时合并房颤的脑梗死患者抗凝治疗率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17、脑梗死患者住院死亡率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18、发病24小时内脑梗死患者血管内治疗率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19、发病24小时内脑梗死患者血管内治疗术前影像学评估率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"20、发病24小时内脑梗死患者行血管内治疗90分钟内完成动脉穿刺率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21、发病24小时内脑梗死患者行血管内治疗60分钟内成功再灌注率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22、发病24小时内脑梗死患者行血管内治疗术后即刻再通率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"23、发病24小时内脑梗死患者行血管内治疗术中新发部位栓塞发生率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24、发病24小时内脑梗死患者行血管内治疗术后症状性颅内出血发生率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25、发病24小时内脑梗死患者行血管内治疗术后90天mRS评估率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26、发病24小时内脑梗死患者行血管内治疗术后90天良好神经功能预后率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27.1、发病24小时内脑梗死患者行血管内治疗术后住院期间死亡率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27.2、发病24小时内脑梗死患者行血管内治疗术后90天死亡率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帕金森</w:t>
            </w:r>
          </w:p>
        </w:tc>
        <w:tc>
          <w:tcPr>
            <w:tcW w:w="4984" w:type="dxa"/>
          </w:tcPr>
          <w:p>
            <w:pPr>
              <w:pStyle w:val="137"/>
              <w:jc w:val="left"/>
              <w:rPr>
                <w:rFonts w:ascii="宋体" w:hAnsi="宋体"/>
              </w:rPr>
            </w:pPr>
            <w:r>
              <w:rPr>
                <w:rFonts w:hint="eastAsia" w:ascii="宋体" w:hAnsi="宋体"/>
              </w:rPr>
              <w:t>1.住院帕金森病患者规范诊断率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2、住院帕金森病患者完成头颅MRI或CT检查率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3、住院帕金森病患者进行急性左旋多巴试验评测率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4、住院帕金森病患者进行临床分期的比例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5、住院帕金森病患者全面神经功能缺损评估率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6、住院帕金森病患者运动并发症筛查率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7、住院帕金森病患者认知功能障碍筛查率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8、住院帕金森病体位性低血压筛查率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9、合并运动并发症的住院帕金森病患者DBS适应症筛选评估率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10、住院帕金森病患者康复评估率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11、住院帕金森病患者焦虑症状和抑郁症状筛查率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颈动脉支架置入术</w:t>
            </w:r>
          </w:p>
        </w:tc>
        <w:tc>
          <w:tcPr>
            <w:tcW w:w="4984" w:type="dxa"/>
          </w:tcPr>
          <w:p>
            <w:pPr>
              <w:pStyle w:val="137"/>
              <w:jc w:val="left"/>
              <w:rPr>
                <w:rFonts w:ascii="宋体" w:hAnsi="宋体"/>
              </w:rPr>
            </w:pPr>
            <w:r>
              <w:rPr>
                <w:rFonts w:hint="eastAsia" w:ascii="宋体" w:hAnsi="宋体"/>
              </w:rPr>
              <w:t>1.颈动脉支架置入术患者术前mRS评估率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2、颈动脉支架置入术患者术前颈动脉无创影像评估率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3.1、无症状颈动脉狭窄患者颈动脉支架置入术手术指征符合率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3.2、症状性颈动脉狭窄患者颈动脉支架置入术手术指征符合率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4.1、颈动脉支架置入术患者 术前双重抗血小板药物治疗率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4.2、颈动脉支架置入术患者术前他汀类药物治疗率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5、颈动脉支架置入术保护装置使用率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6、颈动脉支架置入术技术成功率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7、颈动脉支架置入术并发症发生率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8.1、颈动脉支架置入术患者出院双重抗血小板药物治疗率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8.2、颈动脉支架置入术患者出院他汀类药物治疗率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8.3、合并高血压的颈动脉支架置入术患者出院降压药物治疗率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8.4、合并糖尿病的颈动脉支架置入术患者出院降糖药物治疗率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9.1、颈动脉支架置入术患者术后住院期间卒中和死亡发生率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9.2、颈动脉支架置入术患者术后30天卒中和死亡发生率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10.1、颈动脉支架置入术患者术后30天同侧缺血性卒中发生率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10.2、颈动脉支架置入术患者术后1年同侧缺血性卒中发生率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脑血管造影术</w:t>
            </w:r>
          </w:p>
        </w:tc>
        <w:tc>
          <w:tcPr>
            <w:tcW w:w="4984" w:type="dxa"/>
          </w:tcPr>
          <w:p>
            <w:pPr>
              <w:pStyle w:val="137"/>
              <w:jc w:val="left"/>
              <w:rPr>
                <w:rFonts w:ascii="宋体" w:hAnsi="宋体"/>
              </w:rPr>
            </w:pPr>
            <w:r>
              <w:rPr>
                <w:rFonts w:hint="eastAsia" w:ascii="宋体" w:hAnsi="宋体"/>
              </w:rPr>
              <w:t>1.脑血管造影术（DSA）前无创影像评估率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2、脑血管造影术中非离子型对比剂应用率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3、脑血管造影术造影时相完整率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4、脑血管造影术造影阳性率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5、脑血管造影术严重并发症发生率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6、脑血管造影术穿刺点并发症发生率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7、脑血管造影术死亡率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肾病专业</w:t>
            </w:r>
          </w:p>
        </w:tc>
        <w:tc>
          <w:tcPr>
            <w:tcW w:w="4984" w:type="dxa"/>
          </w:tcPr>
          <w:p>
            <w:pPr>
              <w:pStyle w:val="137"/>
              <w:jc w:val="left"/>
              <w:rPr>
                <w:rFonts w:ascii="宋体" w:hAnsi="宋体"/>
              </w:rPr>
            </w:pPr>
            <w:r>
              <w:rPr>
                <w:rFonts w:hint="eastAsia" w:ascii="宋体" w:hAnsi="宋体"/>
              </w:rPr>
              <w:t>1.肾活检患者术前检查完成率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2、肾脏病理切片染色规范率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3、IgA 肾病患者病理分型诊断率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4、IgA 肾病患者 RAS 阻断剂的使用率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5、IgA 肾病患者随访完成率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6、IgA 肾病患者血压控制达标率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7、肾功能恶化率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8、治疗6个月后24小时尿蛋白&lt;1g 的患者比例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9、肾活检严重并发症发生率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10、激素、免疫抑制剂治疗的严重并发症发生率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11.1、血液透析治疗室消毒合格率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11.2、腹膜透析治疗室消毒合格率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12.1、透析用水生物污染检验合格率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13、新入血液透析患者血源性传染病标志物检验完成率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14、维持性血液透析患者血源性传染病标志物定时检验完成率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15、维持性血液透析患者的乙型肝炎和丙型肝炎发病率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"16、血液透析患者尿素清除指数（Kt/V）和尿素下降率（URR）控制率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17、腹膜透析患者尿素清除指数（Kt/V）及总内生肌酐清除率（Ccr）控制率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18.1、维持性血液透析患者β2微球蛋白定时检验完成率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18.2、腹膜透析患者β2微球蛋白定时检验完成率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19.血液透析患者透析间期体重增长控制率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20、维持性血液透析患者的动静脉内瘘长期使用率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21、腹膜透析患者腹膜平衡试验记录定时完成率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22、腹膜透析退出患者治疗时间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23.1、维持性血液透析患者血常规定时检验完成率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23.2、腹膜透析患者血常规定时检验完成率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24.1、维持性血液透析患者血液生化定时检验完成率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24.2、腹膜透析患者血液生化定时检验完成率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25.1、维持性血液透析患者iPTH定时检验完成率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25.2、腹膜透析患者iPTH定时检验完成率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26.1、维持性血液透析患者血清铁蛋白和转铁蛋白饱和度定时检验完成率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26.2、腹膜透析患者血清铁蛋白和转铁蛋白饱和度定时检验完成率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27.1、维持性血液透析患者血清前白蛋白定时检验完成率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27.2、腹膜透析患者血清前白蛋白定时检验完成率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28.1、维持性血液透析患者 CRP 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28.2、腹膜透析患者 CRP 定时检验完成率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29.1、维持性血液透析患者高血压控制率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29.2、腹膜透析患者高血压控制率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30.1、维持性血液透析患者肾性贫血控制率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30.2、腹膜透析患者肾性贫血控制率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31.1、维持性血液透析患者CKD-MBD指标控制率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31.2、腹膜透析患者CKD-MBD指标控制率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32.1、维持性血液透析患者血清白蛋白控制率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32.2、腹膜透析患者血清白蛋白控制率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护理专业</w:t>
            </w:r>
          </w:p>
        </w:tc>
        <w:tc>
          <w:tcPr>
            <w:tcW w:w="4984" w:type="dxa"/>
          </w:tcPr>
          <w:p>
            <w:pPr>
              <w:pStyle w:val="137"/>
              <w:jc w:val="left"/>
              <w:rPr>
                <w:rFonts w:ascii="宋体" w:hAnsi="宋体"/>
              </w:rPr>
            </w:pPr>
            <w:r>
              <w:rPr>
                <w:rFonts w:hint="eastAsia" w:ascii="宋体" w:hAnsi="宋体"/>
              </w:rPr>
              <w:t>1.1、医疗机构床护比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1.2、病区床护比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1.3、重症医学科床护比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1.4、儿科病区床护比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2.1、白班平均护患比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2.2、夜班平均护患比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3、每住院患者24小时平均护理时数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4.1、病区5年以下护士占比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4.2、20 年及以上护士占比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5、护士离职率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6、住院患者身体约束率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7.1、住院患者跌倒发生率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7.2、住院患者跌倒伤害占比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8、住院患者2期及以上院内压力性损伤发生率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9.1、气管导管（气管插管、气管切开）非计划拔管率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9.2、经口、经鼻胃肠导管非计划拔管率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9.3、导尿管非计划拔管率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9.4、中心静脉导管（CVC）非计划拔管率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9.5、PICC 非计划拔管率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10.1、导尿管相关尿路感染发生率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10.2、中心静脉导管（CVC）相关血流感染发生率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10.3、经外周置入中心静脉导管（PICC）相关血流感染发生率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11、呼吸机相关性肺炎（VAP）发生率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12.1、特级护理占比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12.2、一级护理占比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12.3、二级护理占比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12.4、三级护理占比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药事管理专业</w:t>
            </w:r>
          </w:p>
        </w:tc>
        <w:tc>
          <w:tcPr>
            <w:tcW w:w="4984" w:type="dxa"/>
          </w:tcPr>
          <w:p>
            <w:pPr>
              <w:pStyle w:val="137"/>
              <w:jc w:val="left"/>
              <w:rPr>
                <w:rFonts w:ascii="宋体" w:hAnsi="宋体"/>
              </w:rPr>
            </w:pPr>
            <w:r>
              <w:rPr>
                <w:rFonts w:hint="eastAsia" w:ascii="宋体" w:hAnsi="宋体"/>
              </w:rPr>
              <w:t>1.药学专业技术人员占比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2、每百张床位临床药师人数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3、门诊处方审核率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3.1、急诊处方审核率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4、住院用药医嘱审核率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5、静脉用药集中调配医嘱干预率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6、门诊处方点评率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7、门诊处方合格率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8、住院患者药学监护率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9、用药错误报告率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10、严重或新的药品不良反应上报率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11.1、住院患者抗菌药物使用率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11.2、住院患者抗菌药物使用强度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11.3、住院患者特殊使用级抗菌药物使用量占比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11.4、Ⅰ类切口手术抗菌药物预防使用率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12、住院患者静脉输液使用率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13、住院患者中药注射剂静脉输液使用率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14、急诊患者糖皮质激素静脉输液使用率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15、住院患者质子泵抑制药注射剂静脉使用率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病案管理</w:t>
            </w:r>
          </w:p>
        </w:tc>
        <w:tc>
          <w:tcPr>
            <w:tcW w:w="4984" w:type="dxa"/>
          </w:tcPr>
          <w:p>
            <w:pPr>
              <w:pStyle w:val="137"/>
              <w:jc w:val="left"/>
              <w:rPr>
                <w:rFonts w:ascii="宋体" w:hAnsi="宋体"/>
              </w:rPr>
            </w:pPr>
            <w:r>
              <w:rPr>
                <w:rFonts w:hint="eastAsia" w:ascii="宋体" w:hAnsi="宋体"/>
              </w:rPr>
              <w:t>1、住院病案管理人员月均负担出院患者病历数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2、门诊病案管理人员月均负担门诊患者病历数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3、病案编码人员月均负担出院患者病历数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4、入院记录24小时内完成率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5、手术记录24小时内完成率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6、出院记录24小时内完成率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7、病案首页24小时内完成率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8、CT/MRI检查记录符合率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9、病理检查记录符合率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10、细菌培养检查记录符合率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11、抗菌药物使用记录符合率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12、恶性肿瘤化学治疗记录符合率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13、恶性肿瘤放射治疗记录符合率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14、手术相关记录完整率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15、植入物相关记录符合率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16、临床用血相关记录符合率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17、医师查房记录完整率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18、患者抢救记录及时完成率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19、出院患者病历 2 日归档率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20、出院患者病历归档完整率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21、主要诊断填写正确率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22、主要诊断编码正确率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23、主要手术填写正确率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24、主要手术编码正确率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25、不合理复制病历发生率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26、知情同意书规范签署率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27、甲级病历率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超声诊断专业</w:t>
            </w:r>
          </w:p>
        </w:tc>
        <w:tc>
          <w:tcPr>
            <w:tcW w:w="4984" w:type="dxa"/>
          </w:tcPr>
          <w:p>
            <w:pPr>
              <w:pStyle w:val="137"/>
              <w:jc w:val="left"/>
              <w:rPr>
                <w:rFonts w:ascii="宋体" w:hAnsi="宋体"/>
              </w:rPr>
            </w:pPr>
            <w:r>
              <w:rPr>
                <w:rFonts w:hint="eastAsia" w:ascii="宋体" w:hAnsi="宋体"/>
              </w:rPr>
              <w:t>1、超声医师月均工作量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2、超声仪器质检率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3、住院超声检查48小时内完成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4、超声危急值10分钟内通报完成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5、超声报告书写合格率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6、乳腺病变超声报告进行乳腺影像报告和数据系统(BI-RADS)分类率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7、门急诊超声报告阳性率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8、住院超声报告阳性率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9、超声筛查中胎儿重大致死性畸形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10、超声诊断符合率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11、乳腺占位超声诊断准确率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12、颈动脉狭窄（ ≥ 50% ）超声诊断符合率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13、超声介入相关主要并发症发生率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康复医学专业</w:t>
            </w:r>
          </w:p>
        </w:tc>
        <w:tc>
          <w:tcPr>
            <w:tcW w:w="4984" w:type="dxa"/>
          </w:tcPr>
          <w:p>
            <w:pPr>
              <w:pStyle w:val="137"/>
              <w:jc w:val="left"/>
              <w:rPr>
                <w:rFonts w:ascii="宋体" w:hAnsi="宋体"/>
              </w:rPr>
            </w:pPr>
            <w:r>
              <w:rPr>
                <w:rFonts w:hint="eastAsia" w:ascii="宋体" w:hAnsi="宋体"/>
              </w:rPr>
              <w:t>1、康复医学科床位占比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2、康复医学科医师床配比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3、康复医学科护士床配比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4、康复医学科治疗师床配比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5、脑卒中患者早期康复介入率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6、脊髓损伤患者早期康复介入率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7、髋、膝关节置换术后患者早期康复介入率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8、ADL改善率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9、脊髓损伤患者ADL改善率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10、脑卒中患者ADL改善率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11.1、脑卒中患者运动功能评定率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11.2、脑卒中患者言语功能评定率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11.3、脑卒中患者吞咽功能评定率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11.4、脊髓损伤患者神经功能评定率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11.5、髋、膝关节置换术后患者功能评定率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12、住院患者静脉输液使用率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13.1、脑卒中后肩痛发生率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13.2、脑卒中后肩痛预防实施率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13.3、脊髓损伤患者泌尿系感染发生率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13.4、脊髓损伤神经源性膀胱患者间歇性导尿实施率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13.5、住院患者静脉血栓栓塞症发生率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13.6、住院患者静脉血栓栓塞症规范预防率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临床营养专业</w:t>
            </w:r>
          </w:p>
        </w:tc>
        <w:tc>
          <w:tcPr>
            <w:tcW w:w="4984" w:type="dxa"/>
          </w:tcPr>
          <w:p>
            <w:pPr>
              <w:pStyle w:val="137"/>
              <w:jc w:val="left"/>
              <w:rPr>
                <w:rFonts w:ascii="宋体" w:hAnsi="宋体"/>
              </w:rPr>
            </w:pPr>
            <w:r>
              <w:rPr>
                <w:rFonts w:hint="eastAsia" w:ascii="宋体" w:hAnsi="宋体"/>
              </w:rPr>
              <w:t>1、营养科医床比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2、营养科护床比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3、营养科技床比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4、住院患者营养风险筛查率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5、存在营养风险住院患者营养治疗率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6、同期存在营养风险住院患者总数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7、糖尿病住院患者营养治疗率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8、使用胰岛素治疗的糖尿病住院患者营养治疗后胰 岛素使用剂量减少率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9.1、肠外营养治疗不良事件发生率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9.2、肠内营养治疗不良事件发生率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9.3、膳食营养治疗不良事件发生率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10、营养门诊投诉发生率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restart"/>
            <w:vAlign w:val="center"/>
          </w:tcPr>
          <w:p>
            <w:pPr>
              <w:pStyle w:val="137"/>
              <w:jc w:val="center"/>
              <w:rPr>
                <w:rFonts w:ascii="宋体" w:hAnsi="宋体"/>
              </w:rPr>
            </w:pPr>
            <w:r>
              <w:rPr>
                <w:rFonts w:hint="eastAsia" w:ascii="宋体" w:hAnsi="宋体"/>
              </w:rPr>
              <w:t>麻醉专业</w:t>
            </w:r>
          </w:p>
        </w:tc>
        <w:tc>
          <w:tcPr>
            <w:tcW w:w="4984" w:type="dxa"/>
          </w:tcPr>
          <w:p>
            <w:pPr>
              <w:pStyle w:val="137"/>
              <w:jc w:val="left"/>
              <w:rPr>
                <w:rFonts w:ascii="宋体" w:hAnsi="宋体"/>
              </w:rPr>
            </w:pPr>
            <w:r>
              <w:rPr>
                <w:rFonts w:hint="eastAsia" w:ascii="宋体" w:hAnsi="宋体"/>
              </w:rPr>
              <w:t>1、麻醉科医护比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2、麻醉医师人均年麻醉例次数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3、手术室外麻醉占比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4、择期手术麻醉前访视率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5、入室后手术麻醉取消率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6、麻醉开始后手术取消率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7、全身麻醉术中体温监测率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8、术中主动保温率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9、术中自体血输注率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10、手术麻醉期间低体温发生率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11、术中牙齿损伤发生率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12、麻醉期间严重反流误吸发生率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13、计划外建立人工气道发生率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14、术中心脏骤停率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15、麻醉期间严重过敏反应发生率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16、全身麻醉术中知晓发生率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17、PACU入室低体温发生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18、麻醉后PACU转出延迟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19、非计划二次气管插管率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20、非计划转入ICU率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21、术后镇痛满意率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22、区域阻滞麻醉后严重神经并发症发生率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23、全身麻醉气管插管拔管后声音嘶哑发生率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24、麻醉后新发昏迷发生率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25、麻醉后24小时内患者死亡率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26、阴道分娩椎管内麻醉使用率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pStyle w:val="137"/>
              <w:jc w:val="center"/>
              <w:rPr>
                <w:rFonts w:ascii="宋体" w:hAnsi="宋体"/>
              </w:rPr>
            </w:pPr>
            <w:r>
              <w:rPr>
                <w:rFonts w:hint="eastAsia" w:ascii="宋体" w:hAnsi="宋体"/>
              </w:rPr>
              <w:t>第四章</w:t>
            </w:r>
          </w:p>
        </w:tc>
        <w:tc>
          <w:tcPr>
            <w:tcW w:w="2693" w:type="dxa"/>
            <w:vMerge w:val="restart"/>
            <w:vAlign w:val="center"/>
          </w:tcPr>
          <w:p>
            <w:pPr>
              <w:pStyle w:val="137"/>
              <w:jc w:val="center"/>
              <w:rPr>
                <w:rFonts w:ascii="宋体" w:hAnsi="宋体"/>
              </w:rPr>
            </w:pPr>
            <w:r>
              <w:rPr>
                <w:rFonts w:hint="eastAsia" w:ascii="宋体" w:hAnsi="宋体"/>
              </w:rPr>
              <w:t>单病种</w:t>
            </w:r>
          </w:p>
        </w:tc>
        <w:tc>
          <w:tcPr>
            <w:tcW w:w="4984" w:type="dxa"/>
          </w:tcPr>
          <w:p>
            <w:pPr>
              <w:pStyle w:val="137"/>
              <w:jc w:val="left"/>
              <w:rPr>
                <w:rFonts w:ascii="宋体" w:hAnsi="宋体"/>
              </w:rPr>
            </w:pPr>
            <w:r>
              <w:rPr>
                <w:rFonts w:hint="eastAsia" w:ascii="宋体" w:hAnsi="宋体"/>
              </w:rPr>
              <w:t>病种名称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收治总例数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总床日数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平均住院日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总住院费用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次均费用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死亡人数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pStyle w:val="137"/>
              <w:jc w:val="center"/>
              <w:rPr>
                <w:rFonts w:ascii="宋体" w:hAnsi="宋体"/>
              </w:rPr>
            </w:pPr>
          </w:p>
        </w:tc>
        <w:tc>
          <w:tcPr>
            <w:tcW w:w="2693" w:type="dxa"/>
            <w:vMerge w:val="continue"/>
            <w:vAlign w:val="center"/>
          </w:tcPr>
          <w:p>
            <w:pPr>
              <w:pStyle w:val="137"/>
              <w:jc w:val="center"/>
              <w:rPr>
                <w:rFonts w:ascii="宋体" w:hAnsi="宋体"/>
              </w:rPr>
            </w:pPr>
          </w:p>
        </w:tc>
        <w:tc>
          <w:tcPr>
            <w:tcW w:w="4984" w:type="dxa"/>
          </w:tcPr>
          <w:p>
            <w:pPr>
              <w:pStyle w:val="137"/>
              <w:jc w:val="left"/>
              <w:rPr>
                <w:rFonts w:ascii="宋体" w:hAnsi="宋体"/>
              </w:rPr>
            </w:pPr>
            <w:r>
              <w:rPr>
                <w:rFonts w:hint="eastAsia" w:ascii="宋体" w:hAnsi="宋体"/>
              </w:rPr>
              <w:t>病死率</w:t>
            </w:r>
          </w:p>
        </w:tc>
      </w:tr>
    </w:tbl>
    <w:p>
      <w:pPr>
        <w:pStyle w:val="138"/>
        <w:jc w:val="left"/>
        <w:rPr>
          <w:rFonts w:ascii="宋体" w:hAnsi="宋体"/>
        </w:rPr>
      </w:pPr>
    </w:p>
    <w:p>
      <w:pPr>
        <w:pStyle w:val="137"/>
        <w:spacing w:line="360" w:lineRule="auto"/>
        <w:rPr>
          <w:rFonts w:ascii="宋体" w:hAnsi="宋体" w:cs="宋体"/>
          <w:sz w:val="24"/>
        </w:rPr>
      </w:pPr>
      <w:r>
        <w:rPr>
          <w:rFonts w:ascii="宋体" w:hAnsi="宋体" w:cs="宋体"/>
          <w:sz w:val="24"/>
        </w:rPr>
        <w:t>4</w:t>
      </w:r>
      <w:r>
        <w:rPr>
          <w:rFonts w:hint="eastAsia" w:ascii="宋体" w:hAnsi="宋体" w:cs="宋体"/>
          <w:sz w:val="24"/>
        </w:rPr>
        <w:t>.4 第三方接口集成服务</w:t>
      </w:r>
    </w:p>
    <w:p>
      <w:pPr>
        <w:pStyle w:val="137"/>
        <w:spacing w:line="360" w:lineRule="auto"/>
        <w:ind w:firstLine="560"/>
        <w:rPr>
          <w:rFonts w:ascii="宋体" w:hAnsi="宋体" w:cs="宋体"/>
          <w:sz w:val="24"/>
        </w:rPr>
      </w:pPr>
      <w:r>
        <w:rPr>
          <w:rFonts w:hint="eastAsia" w:ascii="宋体" w:hAnsi="宋体" w:cs="Arial"/>
          <w:sz w:val="24"/>
        </w:rPr>
        <w:t>★</w:t>
      </w:r>
      <w:r>
        <w:rPr>
          <w:rFonts w:hint="eastAsia" w:ascii="宋体" w:hAnsi="宋体" w:cs="宋体"/>
          <w:sz w:val="24"/>
        </w:rPr>
        <w:t>在项目实施工作中，投标人需严格按照医院要求与医院现有业务软件厂商进行实施对接，对接第三方业务系统（包含但不限于：医院信息管理系统（HIS）、检验系统（LIS）、影像系统（PACS）、门急诊及住院电子病历系统（EMR）、手术麻醉系统</w:t>
      </w:r>
      <w:r>
        <w:rPr>
          <w:rFonts w:hint="eastAsia" w:ascii="宋体" w:hAnsi="宋体" w:cs="宋体"/>
          <w:szCs w:val="21"/>
        </w:rPr>
        <w:t>、</w:t>
      </w:r>
      <w:r>
        <w:rPr>
          <w:rFonts w:hint="eastAsia" w:ascii="宋体" w:hAnsi="宋体" w:cs="宋体"/>
          <w:sz w:val="24"/>
        </w:rPr>
        <w:t>输血系统、医保审核系统、微信、支付宝预约支付平台、财务HRP系统、门诊智能引导系统）厂商的接口产生的费用由中标人承担。</w:t>
      </w:r>
    </w:p>
    <w:p>
      <w:pPr>
        <w:pStyle w:val="138"/>
      </w:pPr>
    </w:p>
    <w:p>
      <w:pPr>
        <w:pStyle w:val="137"/>
        <w:spacing w:line="360" w:lineRule="auto"/>
        <w:rPr>
          <w:rFonts w:ascii="宋体" w:hAnsi="宋体" w:cs="宋体"/>
          <w:sz w:val="24"/>
        </w:rPr>
      </w:pPr>
    </w:p>
    <w:p>
      <w:pPr>
        <w:pStyle w:val="139"/>
        <w:ind w:firstLine="0" w:firstLineChars="0"/>
        <w:rPr>
          <w:rFonts w:hAnsi="宋体" w:cs="Arial"/>
          <w:b/>
          <w:sz w:val="24"/>
        </w:rPr>
      </w:pPr>
      <w:bookmarkStart w:id="27" w:name="_Toc440884397"/>
      <w:r>
        <w:rPr>
          <w:rFonts w:hint="eastAsia" w:hAnsi="宋体" w:cs="Arial"/>
          <w:b/>
          <w:sz w:val="24"/>
        </w:rPr>
        <w:t>五、系统非功能性要求</w:t>
      </w:r>
      <w:bookmarkEnd w:id="27"/>
    </w:p>
    <w:p>
      <w:pPr>
        <w:pStyle w:val="137"/>
        <w:spacing w:line="360" w:lineRule="auto"/>
        <w:ind w:firstLine="480"/>
        <w:rPr>
          <w:rFonts w:ascii="宋体" w:hAnsi="宋体" w:cs="宋体"/>
          <w:sz w:val="24"/>
        </w:rPr>
      </w:pPr>
      <w:r>
        <w:rPr>
          <w:rFonts w:hint="eastAsia" w:ascii="宋体" w:hAnsi="宋体" w:cs="宋体"/>
          <w:sz w:val="24"/>
        </w:rPr>
        <w:t xml:space="preserve">投标方在进行医院信息化建设时候需要严格满足以下非功能性服务要求： </w:t>
      </w:r>
    </w:p>
    <w:p>
      <w:pPr>
        <w:pStyle w:val="139"/>
        <w:spacing w:line="360" w:lineRule="auto"/>
        <w:ind w:firstLineChars="0"/>
        <w:rPr>
          <w:rStyle w:val="145"/>
          <w:rFonts w:hAnsi="宋体" w:cs="宋体"/>
          <w:bCs/>
          <w:color w:val="000000"/>
          <w:sz w:val="24"/>
          <w:szCs w:val="24"/>
        </w:rPr>
      </w:pPr>
      <w:r>
        <w:rPr>
          <w:rStyle w:val="145"/>
          <w:rFonts w:hint="eastAsia" w:hAnsi="宋体" w:cs="宋体"/>
          <w:bCs/>
          <w:color w:val="000000"/>
          <w:sz w:val="24"/>
          <w:szCs w:val="24"/>
        </w:rPr>
        <w:t>1</w:t>
      </w:r>
      <w:r>
        <w:rPr>
          <w:rStyle w:val="145"/>
          <w:rFonts w:hAnsi="宋体" w:cs="宋体"/>
          <w:bCs/>
          <w:color w:val="000000"/>
          <w:sz w:val="24"/>
          <w:szCs w:val="24"/>
        </w:rPr>
        <w:t>.</w:t>
      </w:r>
      <w:r>
        <w:rPr>
          <w:rStyle w:val="145"/>
          <w:rFonts w:hint="eastAsia" w:hAnsi="宋体" w:cs="宋体"/>
          <w:bCs/>
          <w:color w:val="000000"/>
          <w:sz w:val="24"/>
          <w:szCs w:val="24"/>
        </w:rPr>
        <w:t>人员驻场服务</w:t>
      </w:r>
    </w:p>
    <w:p>
      <w:pPr>
        <w:pStyle w:val="139"/>
        <w:spacing w:line="360" w:lineRule="auto"/>
        <w:ind w:firstLineChars="0"/>
        <w:rPr>
          <w:rStyle w:val="145"/>
          <w:rFonts w:hAnsi="宋体" w:cs="宋体"/>
          <w:bCs/>
          <w:color w:val="000000"/>
          <w:sz w:val="24"/>
          <w:szCs w:val="24"/>
        </w:rPr>
      </w:pPr>
      <w:r>
        <w:rPr>
          <w:rStyle w:val="145"/>
          <w:rFonts w:hint="eastAsia" w:hAnsi="宋体" w:cs="宋体"/>
          <w:bCs/>
          <w:color w:val="000000"/>
          <w:sz w:val="24"/>
          <w:szCs w:val="24"/>
        </w:rPr>
        <w:t>要求中标人在项目实施服务期内（合同签署后3</w:t>
      </w:r>
      <w:r>
        <w:rPr>
          <w:rStyle w:val="145"/>
          <w:rFonts w:hAnsi="宋体" w:cs="宋体"/>
          <w:bCs/>
          <w:color w:val="000000"/>
          <w:sz w:val="24"/>
          <w:szCs w:val="24"/>
        </w:rPr>
        <w:t>6</w:t>
      </w:r>
      <w:r>
        <w:rPr>
          <w:rStyle w:val="145"/>
          <w:rFonts w:hint="eastAsia" w:hAnsi="宋体" w:cs="宋体"/>
          <w:bCs/>
          <w:color w:val="000000"/>
          <w:sz w:val="24"/>
          <w:szCs w:val="24"/>
        </w:rPr>
        <w:t>个月内），需派1</w:t>
      </w:r>
      <w:r>
        <w:rPr>
          <w:rStyle w:val="145"/>
          <w:rFonts w:hAnsi="宋体" w:cs="宋体"/>
          <w:bCs/>
          <w:color w:val="000000"/>
          <w:sz w:val="24"/>
          <w:szCs w:val="24"/>
        </w:rPr>
        <w:t>-2</w:t>
      </w:r>
      <w:r>
        <w:rPr>
          <w:rStyle w:val="145"/>
          <w:rFonts w:hint="eastAsia" w:hAnsi="宋体" w:cs="宋体"/>
          <w:bCs/>
          <w:color w:val="000000"/>
          <w:sz w:val="24"/>
          <w:szCs w:val="24"/>
        </w:rPr>
        <w:t>名工程师在合同期3</w:t>
      </w:r>
      <w:r>
        <w:rPr>
          <w:rStyle w:val="145"/>
          <w:rFonts w:hAnsi="宋体" w:cs="宋体"/>
          <w:bCs/>
          <w:color w:val="000000"/>
          <w:sz w:val="24"/>
          <w:szCs w:val="24"/>
        </w:rPr>
        <w:t>6</w:t>
      </w:r>
      <w:r>
        <w:rPr>
          <w:rStyle w:val="145"/>
          <w:rFonts w:hint="eastAsia" w:hAnsi="宋体" w:cs="宋体"/>
          <w:bCs/>
          <w:color w:val="000000"/>
          <w:sz w:val="24"/>
          <w:szCs w:val="24"/>
        </w:rPr>
        <w:t>个月，医院驻点实施维护项目系统。</w:t>
      </w:r>
    </w:p>
    <w:p>
      <w:pPr>
        <w:pStyle w:val="139"/>
        <w:spacing w:line="360" w:lineRule="auto"/>
        <w:ind w:firstLine="480"/>
        <w:rPr>
          <w:rFonts w:hAnsi="宋体" w:cs="宋体"/>
          <w:bCs/>
          <w:color w:val="000000"/>
          <w:sz w:val="24"/>
          <w:szCs w:val="24"/>
        </w:rPr>
      </w:pPr>
      <w:r>
        <w:rPr>
          <w:rFonts w:hint="eastAsia" w:hAnsi="宋体" w:cs="宋体"/>
          <w:bCs/>
          <w:color w:val="000000"/>
          <w:sz w:val="24"/>
          <w:szCs w:val="24"/>
        </w:rPr>
        <w:t>2</w:t>
      </w:r>
      <w:r>
        <w:rPr>
          <w:rFonts w:hAnsi="宋体" w:cs="宋体"/>
          <w:bCs/>
          <w:color w:val="000000"/>
          <w:sz w:val="24"/>
          <w:szCs w:val="24"/>
        </w:rPr>
        <w:t>.</w:t>
      </w:r>
      <w:r>
        <w:rPr>
          <w:rFonts w:hint="eastAsia" w:hAnsi="宋体"/>
        </w:rPr>
        <w:t xml:space="preserve"> </w:t>
      </w:r>
      <w:r>
        <w:rPr>
          <w:rFonts w:hint="eastAsia" w:hAnsi="宋体" w:cs="宋体"/>
          <w:bCs/>
          <w:color w:val="000000"/>
          <w:sz w:val="24"/>
          <w:szCs w:val="24"/>
        </w:rPr>
        <w:t>数据治理服务</w:t>
      </w:r>
    </w:p>
    <w:p>
      <w:pPr>
        <w:pStyle w:val="139"/>
        <w:spacing w:line="360" w:lineRule="auto"/>
        <w:ind w:firstLineChars="0"/>
        <w:rPr>
          <w:rFonts w:hAnsi="宋体" w:cs="宋体"/>
          <w:bCs/>
          <w:color w:val="000000"/>
          <w:sz w:val="24"/>
          <w:szCs w:val="24"/>
        </w:rPr>
      </w:pPr>
      <w:r>
        <w:rPr>
          <w:rFonts w:hint="eastAsia" w:hAnsi="宋体" w:cs="宋体"/>
          <w:bCs/>
          <w:color w:val="000000"/>
          <w:sz w:val="24"/>
          <w:szCs w:val="24"/>
        </w:rPr>
        <w:t>通过驻场人员服务，对医院运营管理数据进行整合分析，将医院多年来所积累的结构不合理、数据冗余混乱的“数据”进行重组织，实现基于高层次数据环境的集成，为管理者和临床科室提供决策支持，将医院各个分散的业务系统的人、财、物相关数据进行统一的标准化数据模型存储。</w:t>
      </w:r>
    </w:p>
    <w:p>
      <w:pPr>
        <w:pStyle w:val="139"/>
        <w:spacing w:line="360" w:lineRule="auto"/>
        <w:ind w:firstLine="480"/>
        <w:rPr>
          <w:rFonts w:hAnsi="宋体" w:cs="宋体"/>
          <w:bCs/>
          <w:color w:val="000000"/>
          <w:sz w:val="24"/>
          <w:szCs w:val="24"/>
        </w:rPr>
      </w:pPr>
      <w:r>
        <w:rPr>
          <w:rFonts w:hint="eastAsia" w:hAnsi="宋体" w:cs="宋体"/>
          <w:bCs/>
          <w:color w:val="000000"/>
          <w:sz w:val="24"/>
          <w:szCs w:val="24"/>
        </w:rPr>
        <w:t>3</w:t>
      </w:r>
      <w:r>
        <w:rPr>
          <w:rFonts w:hAnsi="宋体" w:cs="宋体"/>
          <w:bCs/>
          <w:color w:val="000000"/>
          <w:sz w:val="24"/>
          <w:szCs w:val="24"/>
        </w:rPr>
        <w:t>.</w:t>
      </w:r>
      <w:r>
        <w:rPr>
          <w:rFonts w:hint="eastAsia"/>
        </w:rPr>
        <w:t xml:space="preserve"> </w:t>
      </w:r>
      <w:r>
        <w:rPr>
          <w:rFonts w:hint="eastAsia" w:hAnsi="宋体" w:cs="宋体"/>
          <w:bCs/>
          <w:color w:val="000000"/>
          <w:sz w:val="24"/>
          <w:szCs w:val="24"/>
        </w:rPr>
        <w:t>医院需求发掘整理服务</w:t>
      </w:r>
    </w:p>
    <w:p>
      <w:pPr>
        <w:pStyle w:val="139"/>
        <w:spacing w:line="360" w:lineRule="auto"/>
        <w:ind w:firstLineChars="0"/>
        <w:rPr>
          <w:rFonts w:hAnsi="宋体" w:cs="宋体"/>
          <w:bCs/>
          <w:color w:val="000000"/>
          <w:sz w:val="24"/>
          <w:szCs w:val="24"/>
        </w:rPr>
      </w:pPr>
      <w:r>
        <w:rPr>
          <w:rFonts w:hint="eastAsia" w:hAnsi="宋体" w:cs="宋体"/>
          <w:bCs/>
          <w:color w:val="000000"/>
          <w:sz w:val="24"/>
          <w:szCs w:val="24"/>
        </w:rPr>
        <w:t>根据医院管理及临床需求出发，整理需求，提出产品化计划建议。</w:t>
      </w:r>
    </w:p>
    <w:p>
      <w:pPr>
        <w:pStyle w:val="139"/>
        <w:spacing w:line="360" w:lineRule="auto"/>
        <w:ind w:firstLine="480"/>
        <w:rPr>
          <w:rFonts w:hAnsi="宋体" w:cs="宋体"/>
          <w:bCs/>
          <w:color w:val="000000"/>
          <w:sz w:val="24"/>
          <w:szCs w:val="24"/>
        </w:rPr>
      </w:pPr>
      <w:r>
        <w:rPr>
          <w:rFonts w:hint="eastAsia" w:hAnsi="宋体" w:cs="宋体"/>
          <w:bCs/>
          <w:color w:val="000000"/>
          <w:sz w:val="24"/>
          <w:szCs w:val="24"/>
        </w:rPr>
        <w:t>4</w:t>
      </w:r>
      <w:r>
        <w:rPr>
          <w:rFonts w:hAnsi="宋体" w:cs="宋体"/>
          <w:bCs/>
          <w:color w:val="000000"/>
          <w:sz w:val="24"/>
          <w:szCs w:val="24"/>
        </w:rPr>
        <w:t>.</w:t>
      </w:r>
      <w:r>
        <w:rPr>
          <w:rFonts w:hint="eastAsia"/>
        </w:rPr>
        <w:t xml:space="preserve"> </w:t>
      </w:r>
      <w:r>
        <w:rPr>
          <w:rFonts w:hint="eastAsia" w:hAnsi="宋体" w:cs="宋体"/>
          <w:bCs/>
          <w:color w:val="000000"/>
          <w:sz w:val="24"/>
          <w:szCs w:val="24"/>
        </w:rPr>
        <w:t>医院需求转化开发服务</w:t>
      </w:r>
    </w:p>
    <w:p>
      <w:pPr>
        <w:pStyle w:val="139"/>
        <w:spacing w:line="360" w:lineRule="auto"/>
        <w:ind w:firstLine="480"/>
        <w:rPr>
          <w:rFonts w:hAnsi="宋体" w:cs="宋体"/>
          <w:bCs/>
          <w:color w:val="000000"/>
          <w:sz w:val="24"/>
          <w:szCs w:val="24"/>
        </w:rPr>
      </w:pPr>
      <w:r>
        <w:rPr>
          <w:rFonts w:hint="eastAsia" w:hAnsi="宋体" w:cs="宋体"/>
          <w:bCs/>
          <w:color w:val="000000"/>
          <w:sz w:val="24"/>
          <w:szCs w:val="24"/>
        </w:rPr>
        <w:t>根据医院管理及临床需求整理的产品计划由驻场人员配合医院进行产品开发。</w:t>
      </w:r>
    </w:p>
    <w:p>
      <w:pPr>
        <w:pStyle w:val="139"/>
        <w:spacing w:line="360" w:lineRule="auto"/>
        <w:ind w:firstLine="480"/>
        <w:rPr>
          <w:rFonts w:hAnsi="宋体"/>
        </w:rPr>
      </w:pPr>
      <w:r>
        <w:rPr>
          <w:rFonts w:hint="eastAsia" w:hAnsi="宋体" w:cs="宋体"/>
          <w:bCs/>
          <w:color w:val="000000"/>
          <w:sz w:val="24"/>
          <w:szCs w:val="24"/>
        </w:rPr>
        <w:t>5</w:t>
      </w:r>
      <w:r>
        <w:rPr>
          <w:rFonts w:hAnsi="宋体" w:cs="宋体"/>
          <w:bCs/>
          <w:color w:val="000000"/>
          <w:sz w:val="24"/>
          <w:szCs w:val="24"/>
        </w:rPr>
        <w:t>.</w:t>
      </w:r>
      <w:r>
        <w:rPr>
          <w:rFonts w:hint="eastAsia" w:hAnsi="宋体"/>
        </w:rPr>
        <w:t xml:space="preserve"> 探索医疗信息化的新需求并转化应用服务</w:t>
      </w:r>
    </w:p>
    <w:p>
      <w:pPr>
        <w:pStyle w:val="139"/>
        <w:spacing w:line="360" w:lineRule="auto"/>
        <w:ind w:firstLine="480"/>
        <w:rPr>
          <w:rFonts w:hAnsi="宋体" w:cs="宋体"/>
          <w:bCs/>
          <w:color w:val="000000"/>
          <w:sz w:val="24"/>
          <w:szCs w:val="24"/>
        </w:rPr>
      </w:pPr>
      <w:r>
        <w:rPr>
          <w:rFonts w:hint="eastAsia" w:hAnsi="宋体" w:cs="宋体"/>
          <w:bCs/>
          <w:color w:val="000000"/>
          <w:sz w:val="24"/>
          <w:szCs w:val="24"/>
        </w:rPr>
        <w:t>驻场人员配合医院信息化软件需求，服务方投入技术能力，联合医院转化成产品。</w:t>
      </w:r>
    </w:p>
    <w:p>
      <w:pPr>
        <w:pStyle w:val="139"/>
        <w:spacing w:line="360" w:lineRule="auto"/>
        <w:ind w:firstLine="480"/>
        <w:rPr>
          <w:rFonts w:hAnsi="宋体" w:cs="宋体"/>
          <w:bCs/>
          <w:color w:val="000000"/>
          <w:sz w:val="24"/>
          <w:szCs w:val="24"/>
        </w:rPr>
      </w:pPr>
      <w:r>
        <w:rPr>
          <w:rFonts w:hint="eastAsia" w:hAnsi="宋体" w:cs="宋体"/>
          <w:bCs/>
          <w:color w:val="000000"/>
          <w:sz w:val="24"/>
          <w:szCs w:val="24"/>
        </w:rPr>
        <w:t>6</w:t>
      </w:r>
      <w:r>
        <w:rPr>
          <w:rFonts w:hAnsi="宋体" w:cs="宋体"/>
          <w:bCs/>
          <w:color w:val="000000"/>
          <w:sz w:val="24"/>
          <w:szCs w:val="24"/>
        </w:rPr>
        <w:t>.</w:t>
      </w:r>
      <w:r>
        <w:rPr>
          <w:rFonts w:hint="eastAsia"/>
        </w:rPr>
        <w:t xml:space="preserve"> </w:t>
      </w:r>
      <w:r>
        <w:rPr>
          <w:rFonts w:hint="eastAsia" w:hAnsi="宋体" w:cs="宋体"/>
          <w:bCs/>
          <w:color w:val="000000"/>
          <w:sz w:val="24"/>
          <w:szCs w:val="24"/>
        </w:rPr>
        <w:t>医疗信息产学研服务</w:t>
      </w:r>
    </w:p>
    <w:p>
      <w:pPr>
        <w:pStyle w:val="139"/>
        <w:spacing w:line="360" w:lineRule="auto"/>
        <w:ind w:firstLine="480"/>
        <w:rPr>
          <w:rFonts w:hAnsi="宋体" w:cs="宋体"/>
          <w:bCs/>
          <w:color w:val="000000"/>
          <w:sz w:val="24"/>
          <w:szCs w:val="24"/>
        </w:rPr>
      </w:pPr>
      <w:r>
        <w:rPr>
          <w:rFonts w:hint="eastAsia" w:hAnsi="宋体" w:cs="宋体"/>
          <w:bCs/>
          <w:color w:val="000000"/>
          <w:sz w:val="24"/>
          <w:szCs w:val="24"/>
        </w:rPr>
        <w:t xml:space="preserve">通过服务，利用信息技术和计算机技术来提高医疗质量和效率。 </w:t>
      </w:r>
    </w:p>
    <w:p>
      <w:pPr>
        <w:pStyle w:val="139"/>
        <w:spacing w:line="360" w:lineRule="auto"/>
        <w:ind w:firstLine="480"/>
        <w:rPr>
          <w:rFonts w:hAnsi="宋体" w:cs="宋体"/>
          <w:bCs/>
          <w:color w:val="000000"/>
          <w:sz w:val="24"/>
          <w:szCs w:val="24"/>
        </w:rPr>
      </w:pPr>
      <w:r>
        <w:rPr>
          <w:rFonts w:hAnsi="宋体" w:cs="宋体"/>
          <w:bCs/>
          <w:color w:val="000000"/>
          <w:sz w:val="24"/>
          <w:szCs w:val="24"/>
        </w:rPr>
        <w:t>7</w:t>
      </w:r>
      <w:r>
        <w:rPr>
          <w:rFonts w:hint="eastAsia" w:hAnsi="宋体" w:cs="宋体"/>
          <w:bCs/>
          <w:color w:val="000000"/>
          <w:sz w:val="24"/>
          <w:szCs w:val="24"/>
        </w:rPr>
        <w:t>.引入医疗信息科技人才提高医院自主创新能力</w:t>
      </w:r>
    </w:p>
    <w:p>
      <w:pPr>
        <w:pStyle w:val="139"/>
        <w:spacing w:line="360" w:lineRule="auto"/>
        <w:ind w:firstLine="480"/>
        <w:rPr>
          <w:rFonts w:hAnsi="宋体" w:cs="宋体"/>
          <w:bCs/>
          <w:color w:val="000000"/>
          <w:sz w:val="24"/>
          <w:szCs w:val="24"/>
        </w:rPr>
      </w:pPr>
      <w:r>
        <w:rPr>
          <w:rFonts w:hint="eastAsia" w:hAnsi="宋体" w:cs="宋体"/>
          <w:bCs/>
          <w:color w:val="000000"/>
          <w:sz w:val="24"/>
          <w:szCs w:val="24"/>
        </w:rPr>
        <w:t>提供人员驻场服务。</w:t>
      </w:r>
    </w:p>
    <w:p>
      <w:pPr>
        <w:pStyle w:val="139"/>
        <w:spacing w:line="360" w:lineRule="auto"/>
        <w:ind w:firstLine="480"/>
        <w:rPr>
          <w:rFonts w:hAnsi="宋体" w:cs="宋体"/>
          <w:bCs/>
          <w:color w:val="000000"/>
          <w:sz w:val="24"/>
          <w:szCs w:val="24"/>
        </w:rPr>
      </w:pPr>
      <w:r>
        <w:rPr>
          <w:rFonts w:hAnsi="宋体" w:cs="宋体"/>
          <w:bCs/>
          <w:color w:val="000000"/>
          <w:sz w:val="24"/>
          <w:szCs w:val="24"/>
        </w:rPr>
        <w:t>8</w:t>
      </w:r>
      <w:r>
        <w:rPr>
          <w:rFonts w:hint="eastAsia" w:hAnsi="宋体" w:cs="宋体"/>
          <w:bCs/>
          <w:color w:val="000000"/>
          <w:sz w:val="24"/>
          <w:szCs w:val="24"/>
        </w:rPr>
        <w:t>. 提升医院信息化建设服务</w:t>
      </w:r>
    </w:p>
    <w:p>
      <w:pPr>
        <w:pStyle w:val="139"/>
        <w:spacing w:line="360" w:lineRule="auto"/>
        <w:ind w:firstLine="480"/>
        <w:rPr>
          <w:rFonts w:hAnsi="宋体" w:cs="宋体"/>
          <w:bCs/>
          <w:color w:val="000000"/>
          <w:sz w:val="24"/>
          <w:szCs w:val="24"/>
        </w:rPr>
      </w:pPr>
      <w:r>
        <w:rPr>
          <w:rFonts w:hint="eastAsia" w:hAnsi="宋体" w:cs="宋体"/>
          <w:bCs/>
          <w:color w:val="000000"/>
          <w:sz w:val="24"/>
          <w:szCs w:val="24"/>
        </w:rPr>
        <w:t>通过服务，提升医院信息化建设。</w:t>
      </w:r>
    </w:p>
    <w:p>
      <w:pPr>
        <w:pStyle w:val="139"/>
        <w:spacing w:line="360" w:lineRule="auto"/>
        <w:ind w:firstLineChars="0"/>
        <w:rPr>
          <w:rFonts w:hAnsi="宋体" w:cs="宋体"/>
          <w:bCs/>
          <w:color w:val="000000"/>
          <w:sz w:val="24"/>
          <w:szCs w:val="24"/>
        </w:rPr>
      </w:pPr>
    </w:p>
    <w:p>
      <w:pPr>
        <w:pStyle w:val="147"/>
        <w:spacing w:line="360" w:lineRule="auto"/>
        <w:ind w:firstLine="0" w:firstLineChars="0"/>
        <w:rPr>
          <w:rFonts w:hint="default" w:ascii="宋体" w:hAnsi="宋体" w:cs="宋体"/>
          <w:sz w:val="24"/>
        </w:rPr>
      </w:pPr>
    </w:p>
    <w:p>
      <w:pPr>
        <w:pStyle w:val="139"/>
        <w:spacing w:line="360" w:lineRule="auto"/>
        <w:ind w:firstLine="0" w:firstLineChars="0"/>
        <w:jc w:val="left"/>
        <w:rPr>
          <w:rFonts w:hAnsi="宋体"/>
          <w:b/>
          <w:sz w:val="24"/>
          <w:szCs w:val="24"/>
        </w:rPr>
      </w:pPr>
      <w:r>
        <w:rPr>
          <w:rFonts w:hint="eastAsia" w:hAnsi="宋体"/>
          <w:b/>
          <w:sz w:val="24"/>
          <w:szCs w:val="24"/>
        </w:rPr>
        <w:t xml:space="preserve">    六、售后服务要求</w:t>
      </w:r>
    </w:p>
    <w:p>
      <w:pPr>
        <w:pStyle w:val="144"/>
        <w:spacing w:before="78" w:beforeLines="25" w:after="78" w:afterLines="25" w:line="360" w:lineRule="auto"/>
        <w:ind w:right="53" w:rightChars="25" w:firstLine="480" w:firstLineChars="200"/>
        <w:rPr>
          <w:rFonts w:ascii="宋体" w:hAnsi="宋体" w:cs="宋体"/>
          <w:sz w:val="24"/>
        </w:rPr>
      </w:pPr>
      <w:bookmarkStart w:id="28" w:name="_Toc440884405"/>
      <w:r>
        <w:rPr>
          <w:rFonts w:hint="eastAsia" w:ascii="宋体" w:hAnsi="宋体" w:cs="宋体"/>
          <w:sz w:val="24"/>
        </w:rPr>
        <w:t>投标方应有良好的服务理念和完善的售后服务体系，能够提供本地技术服务。针对本项目，提出完整而切实可行的服务方案。</w:t>
      </w:r>
    </w:p>
    <w:p>
      <w:pPr>
        <w:pStyle w:val="144"/>
        <w:numPr>
          <w:ilvl w:val="0"/>
          <w:numId w:val="9"/>
        </w:numPr>
        <w:spacing w:line="360" w:lineRule="auto"/>
        <w:ind w:firstLine="480" w:firstLineChars="200"/>
        <w:rPr>
          <w:rFonts w:ascii="宋体" w:hAnsi="宋体" w:cs="宋体"/>
          <w:sz w:val="24"/>
        </w:rPr>
      </w:pPr>
      <w:r>
        <w:rPr>
          <w:rFonts w:hint="eastAsia" w:ascii="宋体" w:hAnsi="宋体" w:cs="宋体"/>
          <w:sz w:val="24"/>
        </w:rPr>
        <w:t>人员驻场服务。</w:t>
      </w:r>
    </w:p>
    <w:p>
      <w:pPr>
        <w:pStyle w:val="144"/>
        <w:numPr>
          <w:ilvl w:val="0"/>
          <w:numId w:val="9"/>
        </w:numPr>
        <w:spacing w:line="360" w:lineRule="auto"/>
        <w:ind w:firstLine="480" w:firstLineChars="200"/>
        <w:rPr>
          <w:rFonts w:ascii="宋体" w:hAnsi="宋体" w:cs="宋体"/>
          <w:sz w:val="24"/>
        </w:rPr>
      </w:pPr>
      <w:r>
        <w:rPr>
          <w:rFonts w:hint="eastAsia" w:ascii="宋体" w:hAnsi="宋体" w:cs="宋体"/>
          <w:sz w:val="24"/>
        </w:rPr>
        <w:t>电话、网络响应</w:t>
      </w:r>
    </w:p>
    <w:p>
      <w:pPr>
        <w:pStyle w:val="144"/>
        <w:spacing w:line="360" w:lineRule="auto"/>
        <w:ind w:firstLine="480" w:firstLineChars="200"/>
        <w:rPr>
          <w:rStyle w:val="148"/>
          <w:rFonts w:ascii="宋体" w:hAnsi="宋体" w:cs="宋体"/>
          <w:sz w:val="24"/>
        </w:rPr>
      </w:pPr>
      <w:r>
        <w:rPr>
          <w:rStyle w:val="148"/>
          <w:rFonts w:hint="eastAsia" w:ascii="宋体" w:hAnsi="宋体" w:cs="宋体"/>
          <w:sz w:val="24"/>
        </w:rPr>
        <w:t>投标方应当为医院提供7×24小时热线电话、远程网络服务方式，解答医院在使用中遇到的问题，及时为医院提出解决问题的建议。</w:t>
      </w:r>
    </w:p>
    <w:p>
      <w:pPr>
        <w:pStyle w:val="144"/>
        <w:numPr>
          <w:ilvl w:val="0"/>
          <w:numId w:val="9"/>
        </w:numPr>
        <w:spacing w:line="360" w:lineRule="auto"/>
        <w:ind w:firstLine="480" w:firstLineChars="200"/>
        <w:rPr>
          <w:rFonts w:ascii="宋体" w:hAnsi="宋体" w:cs="宋体"/>
          <w:sz w:val="24"/>
        </w:rPr>
      </w:pPr>
      <w:r>
        <w:rPr>
          <w:rFonts w:hint="eastAsia" w:ascii="宋体" w:hAnsi="宋体" w:cs="宋体"/>
          <w:sz w:val="24"/>
        </w:rPr>
        <w:t>现场响应</w:t>
      </w:r>
    </w:p>
    <w:p>
      <w:pPr>
        <w:pStyle w:val="144"/>
        <w:spacing w:line="360" w:lineRule="auto"/>
        <w:ind w:firstLine="420"/>
        <w:rPr>
          <w:rFonts w:ascii="宋体" w:hAnsi="宋体" w:cs="宋体"/>
          <w:sz w:val="24"/>
        </w:rPr>
      </w:pPr>
      <w:r>
        <w:rPr>
          <w:rStyle w:val="148"/>
          <w:rFonts w:hint="eastAsia" w:ascii="宋体" w:hAnsi="宋体" w:cs="宋体"/>
          <w:sz w:val="24"/>
        </w:rPr>
        <w:t>医院遇到使用及技术问题，1小时内给予明确的响应并解决；需要现场服务情况，应在接到医院服务请求后2小时内到达现场解决</w:t>
      </w:r>
      <w:r>
        <w:rPr>
          <w:rFonts w:hint="eastAsia" w:ascii="宋体" w:hAnsi="宋体" w:cs="宋体"/>
          <w:sz w:val="24"/>
        </w:rPr>
        <w:t>。</w:t>
      </w:r>
    </w:p>
    <w:p>
      <w:pPr>
        <w:pStyle w:val="144"/>
        <w:numPr>
          <w:ilvl w:val="0"/>
          <w:numId w:val="9"/>
        </w:numPr>
        <w:spacing w:line="360" w:lineRule="auto"/>
        <w:ind w:firstLine="480" w:firstLineChars="200"/>
        <w:rPr>
          <w:rFonts w:ascii="宋体" w:hAnsi="宋体" w:cs="宋体"/>
          <w:sz w:val="24"/>
        </w:rPr>
      </w:pPr>
      <w:r>
        <w:rPr>
          <w:rFonts w:hint="eastAsia" w:ascii="宋体" w:hAnsi="宋体" w:cs="宋体"/>
          <w:sz w:val="24"/>
        </w:rPr>
        <w:t>技术升级</w:t>
      </w:r>
    </w:p>
    <w:p>
      <w:pPr>
        <w:pStyle w:val="144"/>
        <w:spacing w:line="360" w:lineRule="auto"/>
        <w:ind w:firstLine="420"/>
        <w:rPr>
          <w:rFonts w:ascii="宋体" w:hAnsi="宋体"/>
          <w:b/>
          <w:sz w:val="24"/>
        </w:rPr>
      </w:pPr>
      <w:r>
        <w:rPr>
          <w:rStyle w:val="148"/>
          <w:rFonts w:hint="eastAsia" w:ascii="宋体" w:hAnsi="宋体" w:cs="宋体"/>
          <w:sz w:val="24"/>
        </w:rPr>
        <w:t>在人员驻场服务期内，如果投标方的产品技术升级，投标方应及时通知医院，如医院有相应要求，投标方应对医院购买的产品进行升级服务。</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8"/>
    </w:p>
    <w:sectPr>
      <w:footerReference r:id="rId3" w:type="default"/>
      <w:footerReference r:id="rId4" w:type="even"/>
      <w:pgSz w:w="11906" w:h="16838"/>
      <w:pgMar w:top="1418" w:right="1247" w:bottom="1418" w:left="124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jc w:val="center"/>
    </w:pPr>
    <w:r>
      <w:rPr>
        <w:rFonts w:hint="eastAsia"/>
        <w:highlight w:val="white"/>
      </w:rPr>
      <w:t>第</w:t>
    </w:r>
    <w:r>
      <w:rPr>
        <w:highlight w:val="white"/>
      </w:rPr>
      <w:t xml:space="preserve"> </w:t>
    </w:r>
    <w:r>
      <w:fldChar w:fldCharType="begin"/>
    </w:r>
    <w:r>
      <w:rPr>
        <w:highlight w:val="white"/>
      </w:rPr>
      <w:instrText xml:space="preserve"> PAGE </w:instrText>
    </w:r>
    <w:r>
      <w:fldChar w:fldCharType="separate"/>
    </w:r>
    <w:r>
      <w:rPr>
        <w:highlight w:val="white"/>
      </w:rPr>
      <w:t>40</w:t>
    </w:r>
    <w:r>
      <w:fldChar w:fldCharType="end"/>
    </w:r>
    <w:r>
      <w:rPr>
        <w:rFonts w:hint="eastAsia"/>
        <w:highlight w:val="white"/>
      </w:rPr>
      <w:t>页</w:t>
    </w:r>
    <w:r>
      <w:rPr>
        <w:highlight w:val="white"/>
      </w:rPr>
      <w:t xml:space="preserve"> </w:t>
    </w:r>
    <w:r>
      <w:rPr>
        <w:rFonts w:hint="eastAsia"/>
        <w:highlight w:val="white"/>
      </w:rPr>
      <w:t>共</w:t>
    </w:r>
    <w:r>
      <w:rPr>
        <w:highlight w:val="white"/>
      </w:rPr>
      <w:t xml:space="preserve"> </w:t>
    </w:r>
    <w:r>
      <w:fldChar w:fldCharType="begin"/>
    </w:r>
    <w:r>
      <w:rPr>
        <w:highlight w:val="white"/>
      </w:rPr>
      <w:instrText xml:space="preserve"> NUMPAGES </w:instrText>
    </w:r>
    <w:r>
      <w:fldChar w:fldCharType="separate"/>
    </w:r>
    <w:r>
      <w:rPr>
        <w:highlight w:val="white"/>
      </w:rPr>
      <w:t>71</w:t>
    </w:r>
    <w:r>
      <w:fldChar w:fldCharType="end"/>
    </w:r>
    <w:r>
      <w:rPr>
        <w:rFonts w:hint="eastAsia"/>
        <w:highlight w:val="white"/>
      </w:rPr>
      <w:t>页</w:t>
    </w:r>
  </w:p>
  <w:p>
    <w:pPr>
      <w:pStyle w:val="2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fldChar w:fldCharType="begin"/>
    </w:r>
    <w:r>
      <w:rPr>
        <w:rStyle w:val="42"/>
        <w:highlight w:val="white"/>
      </w:rPr>
      <w:instrText xml:space="preserve">PAGE  </w:instrText>
    </w:r>
    <w:r>
      <w:fldChar w:fldCharType="separate"/>
    </w:r>
    <w:r>
      <w:rPr>
        <w:rStyle w:val="42"/>
        <w:highlight w:val="white"/>
      </w:rPr>
      <w:t>34</w:t>
    </w:r>
    <w:r>
      <w:fldChar w:fldCharType="end"/>
    </w:r>
  </w:p>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11EB3"/>
    <w:multiLevelType w:val="multilevel"/>
    <w:tmpl w:val="32411EB3"/>
    <w:lvl w:ilvl="0" w:tentative="0">
      <w:start w:val="1"/>
      <w:numFmt w:val="chineseCountingThousand"/>
      <w:pStyle w:val="115"/>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default"/>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DAE7315"/>
    <w:multiLevelType w:val="multilevel"/>
    <w:tmpl w:val="3DAE7315"/>
    <w:lvl w:ilvl="0" w:tentative="0">
      <w:start w:val="1"/>
      <w:numFmt w:val="decimal"/>
      <w:pStyle w:val="104"/>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abstractNum w:abstractNumId="2">
    <w:nsid w:val="6E6F60E5"/>
    <w:multiLevelType w:val="multilevel"/>
    <w:tmpl w:val="6E6F60E5"/>
    <w:lvl w:ilvl="0" w:tentative="0">
      <w:start w:val="1"/>
      <w:numFmt w:val="lowerLetter"/>
      <w:pStyle w:val="14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E6F60E6"/>
    <w:multiLevelType w:val="multilevel"/>
    <w:tmpl w:val="6E6F60E6"/>
    <w:lvl w:ilvl="0" w:tentative="0">
      <w:start w:val="1"/>
      <w:numFmt w:val="none"/>
      <w:suff w:val="nothing"/>
      <w:lvlText w:val="%1——"/>
      <w:lvlJc w:val="left"/>
      <w:pPr>
        <w:ind w:left="833" w:hanging="408"/>
      </w:pPr>
      <w:rPr>
        <w:rFonts w:hint="eastAsia"/>
      </w:rPr>
    </w:lvl>
    <w:lvl w:ilvl="1" w:tentative="0">
      <w:start w:val="1"/>
      <w:numFmt w:val="bullet"/>
      <w:pStyle w:val="142"/>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6E6F60E8"/>
    <w:multiLevelType w:val="singleLevel"/>
    <w:tmpl w:val="6E6F60E8"/>
    <w:lvl w:ilvl="0" w:tentative="0">
      <w:start w:val="1"/>
      <w:numFmt w:val="chineseCounting"/>
      <w:suff w:val="nothing"/>
      <w:lvlText w:val="（%1）"/>
      <w:lvlJc w:val="left"/>
      <w:rPr>
        <w:rFonts w:hint="eastAsia"/>
      </w:rPr>
    </w:lvl>
  </w:abstractNum>
  <w:abstractNum w:abstractNumId="5">
    <w:nsid w:val="6E6F60E9"/>
    <w:multiLevelType w:val="singleLevel"/>
    <w:tmpl w:val="6E6F60E9"/>
    <w:lvl w:ilvl="0" w:tentative="0">
      <w:start w:val="1"/>
      <w:numFmt w:val="decimal"/>
      <w:lvlText w:val="%1."/>
      <w:lvlJc w:val="left"/>
      <w:pPr>
        <w:ind w:left="425" w:hanging="425"/>
      </w:pPr>
      <w:rPr>
        <w:rFonts w:hint="default"/>
      </w:rPr>
    </w:lvl>
  </w:abstractNum>
  <w:abstractNum w:abstractNumId="6">
    <w:nsid w:val="6E6F60EA"/>
    <w:multiLevelType w:val="singleLevel"/>
    <w:tmpl w:val="6E6F60EA"/>
    <w:lvl w:ilvl="0" w:tentative="0">
      <w:start w:val="1"/>
      <w:numFmt w:val="decimal"/>
      <w:lvlText w:val="%1."/>
      <w:lvlJc w:val="left"/>
      <w:pPr>
        <w:tabs>
          <w:tab w:val="left" w:pos="312"/>
        </w:tabs>
      </w:pPr>
    </w:lvl>
  </w:abstractNum>
  <w:abstractNum w:abstractNumId="7">
    <w:nsid w:val="6E6F60F2"/>
    <w:multiLevelType w:val="singleLevel"/>
    <w:tmpl w:val="6E6F60F2"/>
    <w:lvl w:ilvl="0" w:tentative="0">
      <w:start w:val="1"/>
      <w:numFmt w:val="decimal"/>
      <w:suff w:val="nothing"/>
      <w:lvlText w:val="%1．"/>
      <w:lvlJc w:val="left"/>
      <w:pPr>
        <w:ind w:left="0" w:firstLine="400"/>
      </w:pPr>
      <w:rPr>
        <w:rFonts w:hint="default"/>
      </w:rPr>
    </w:lvl>
  </w:abstractNum>
  <w:abstractNum w:abstractNumId="8">
    <w:nsid w:val="6E6F60FC"/>
    <w:multiLevelType w:val="multilevel"/>
    <w:tmpl w:val="6E6F60FC"/>
    <w:lvl w:ilvl="0" w:tentative="0">
      <w:start w:val="1"/>
      <w:numFmt w:val="decimal"/>
      <w:pStyle w:val="168"/>
      <w:lvlText w:val="%1"/>
      <w:lvlJc w:val="left"/>
      <w:pPr>
        <w:ind w:left="432" w:hanging="432"/>
      </w:pPr>
    </w:lvl>
    <w:lvl w:ilvl="1" w:tentative="0">
      <w:start w:val="1"/>
      <w:numFmt w:val="decimal"/>
      <w:pStyle w:val="170"/>
      <w:lvlText w:val="%1.%2"/>
      <w:lvlJc w:val="left"/>
      <w:pPr>
        <w:ind w:left="576" w:hanging="576"/>
      </w:pPr>
    </w:lvl>
    <w:lvl w:ilvl="2" w:tentative="0">
      <w:start w:val="1"/>
      <w:numFmt w:val="decimal"/>
      <w:pStyle w:val="166"/>
      <w:lvlText w:val="%1.%2.%3"/>
      <w:lvlJc w:val="left"/>
      <w:pPr>
        <w:ind w:left="720" w:hanging="720"/>
      </w:pPr>
    </w:lvl>
    <w:lvl w:ilvl="3" w:tentative="0">
      <w:start w:val="1"/>
      <w:numFmt w:val="decimal"/>
      <w:pStyle w:val="172"/>
      <w:lvlText w:val="%1.%2.%3.%4"/>
      <w:lvlJc w:val="left"/>
      <w:pPr>
        <w:ind w:left="864" w:hanging="864"/>
      </w:pPr>
    </w:lvl>
    <w:lvl w:ilvl="4" w:tentative="0">
      <w:start w:val="1"/>
      <w:numFmt w:val="decimal"/>
      <w:pStyle w:val="174"/>
      <w:lvlText w:val="%1.%2.%3.%4.%5"/>
      <w:lvlJc w:val="left"/>
      <w:pPr>
        <w:ind w:left="1008" w:hanging="1008"/>
      </w:pPr>
    </w:lvl>
    <w:lvl w:ilvl="5" w:tentative="0">
      <w:start w:val="1"/>
      <w:numFmt w:val="decimal"/>
      <w:pStyle w:val="176"/>
      <w:lvlText w:val="%1.%2.%3.%4.%5.%6"/>
      <w:lvlJc w:val="left"/>
      <w:pPr>
        <w:ind w:left="1152" w:hanging="1152"/>
      </w:pPr>
    </w:lvl>
    <w:lvl w:ilvl="6" w:tentative="0">
      <w:start w:val="1"/>
      <w:numFmt w:val="decimal"/>
      <w:pStyle w:val="178"/>
      <w:lvlText w:val="%1.%2.%3.%4.%5.%6.%7"/>
      <w:lvlJc w:val="left"/>
      <w:pPr>
        <w:ind w:left="1296" w:hanging="1296"/>
      </w:pPr>
    </w:lvl>
    <w:lvl w:ilvl="7" w:tentative="0">
      <w:start w:val="1"/>
      <w:numFmt w:val="decimal"/>
      <w:pStyle w:val="180"/>
      <w:lvlText w:val="%1.%2.%3.%4.%5.%6.%7.%8"/>
      <w:lvlJc w:val="left"/>
      <w:pPr>
        <w:ind w:left="1440" w:hanging="1440"/>
      </w:pPr>
    </w:lvl>
    <w:lvl w:ilvl="8" w:tentative="0">
      <w:start w:val="1"/>
      <w:numFmt w:val="decimal"/>
      <w:pStyle w:val="182"/>
      <w:lvlText w:val="%1.%2.%3.%4.%5.%6.%7.%8.%9"/>
      <w:lvlJc w:val="left"/>
      <w:pPr>
        <w:ind w:left="1584" w:hanging="1584"/>
      </w:pPr>
    </w:lvl>
  </w:abstractNum>
  <w:num w:numId="1">
    <w:abstractNumId w:val="1"/>
  </w:num>
  <w:num w:numId="2">
    <w:abstractNumId w:val="0"/>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48"/>
    <w:rsid w:val="0005476C"/>
    <w:rsid w:val="00162D48"/>
    <w:rsid w:val="003C4D30"/>
    <w:rsid w:val="00497F11"/>
    <w:rsid w:val="004F3921"/>
    <w:rsid w:val="0058580A"/>
    <w:rsid w:val="00593194"/>
    <w:rsid w:val="007F1757"/>
    <w:rsid w:val="00CB570F"/>
    <w:rsid w:val="00DA3C16"/>
    <w:rsid w:val="00E105B9"/>
    <w:rsid w:val="00E802EB"/>
    <w:rsid w:val="00FF25E2"/>
    <w:rsid w:val="611F4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nhideWhenUsed="0" w:uiPriority="0" w:semiHidden="0" w:name="Normal Indent"/>
    <w:lsdException w:uiPriority="99" w:name="footnote text"/>
    <w:lsdException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0"/>
    <w:pPr>
      <w:keepNext/>
      <w:keepLines/>
      <w:spacing w:before="340" w:after="330" w:line="576" w:lineRule="auto"/>
      <w:outlineLvl w:val="0"/>
    </w:pPr>
    <w:rPr>
      <w:b/>
      <w:bCs/>
      <w:kern w:val="44"/>
      <w:sz w:val="44"/>
      <w:szCs w:val="44"/>
    </w:rPr>
  </w:style>
  <w:style w:type="paragraph" w:styleId="3">
    <w:name w:val="heading 2"/>
    <w:basedOn w:val="1"/>
    <w:next w:val="4"/>
    <w:link w:val="49"/>
    <w:qFormat/>
    <w:uiPriority w:val="0"/>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4"/>
    <w:link w:val="50"/>
    <w:qFormat/>
    <w:uiPriority w:val="0"/>
    <w:pPr>
      <w:tabs>
        <w:tab w:val="left" w:pos="851"/>
      </w:tabs>
      <w:autoSpaceDE w:val="0"/>
      <w:autoSpaceDN w:val="0"/>
      <w:adjustRightInd w:val="0"/>
      <w:snapToGrid w:val="0"/>
      <w:spacing w:line="360" w:lineRule="auto"/>
      <w:outlineLvl w:val="2"/>
    </w:pPr>
    <w:rPr>
      <w:rFonts w:ascii="宋体" w:cs="宋体"/>
    </w:rPr>
  </w:style>
  <w:style w:type="paragraph" w:styleId="6">
    <w:name w:val="heading 4"/>
    <w:basedOn w:val="1"/>
    <w:next w:val="4"/>
    <w:link w:val="51"/>
    <w:qFormat/>
    <w:uiPriority w:val="0"/>
    <w:pPr>
      <w:autoSpaceDE w:val="0"/>
      <w:autoSpaceDN w:val="0"/>
      <w:adjustRightInd w:val="0"/>
      <w:snapToGrid w:val="0"/>
      <w:spacing w:line="360" w:lineRule="auto"/>
      <w:outlineLvl w:val="3"/>
    </w:pPr>
    <w:rPr>
      <w:rFonts w:ascii="宋体" w:hAnsi="Arial" w:cs="宋体"/>
      <w:color w:val="000000"/>
    </w:rPr>
  </w:style>
  <w:style w:type="paragraph" w:styleId="7">
    <w:name w:val="heading 5"/>
    <w:basedOn w:val="1"/>
    <w:next w:val="4"/>
    <w:link w:val="52"/>
    <w:qFormat/>
    <w:uiPriority w:val="0"/>
    <w:pPr>
      <w:keepNext/>
      <w:autoSpaceDE w:val="0"/>
      <w:autoSpaceDN w:val="0"/>
      <w:adjustRightInd w:val="0"/>
      <w:snapToGrid w:val="0"/>
      <w:spacing w:before="280" w:after="290" w:line="374" w:lineRule="auto"/>
      <w:outlineLvl w:val="4"/>
    </w:pPr>
    <w:rPr>
      <w:rFonts w:ascii="宋体" w:cs="宋体"/>
      <w:b/>
      <w:color w:val="000000"/>
      <w:sz w:val="28"/>
    </w:rPr>
  </w:style>
  <w:style w:type="paragraph" w:styleId="8">
    <w:name w:val="heading 6"/>
    <w:basedOn w:val="1"/>
    <w:next w:val="4"/>
    <w:link w:val="53"/>
    <w:qFormat/>
    <w:uiPriority w:val="0"/>
    <w:pPr>
      <w:keepNext/>
      <w:autoSpaceDE w:val="0"/>
      <w:autoSpaceDN w:val="0"/>
      <w:adjustRightInd w:val="0"/>
      <w:snapToGrid w:val="0"/>
      <w:spacing w:before="240" w:after="64" w:line="319" w:lineRule="auto"/>
      <w:outlineLvl w:val="5"/>
    </w:pPr>
    <w:rPr>
      <w:rFonts w:ascii="Arial" w:hAnsi="Arial" w:eastAsia="黑体"/>
      <w:b/>
      <w:color w:val="000000"/>
      <w:sz w:val="24"/>
    </w:rPr>
  </w:style>
  <w:style w:type="paragraph" w:styleId="9">
    <w:name w:val="heading 7"/>
    <w:basedOn w:val="1"/>
    <w:next w:val="4"/>
    <w:link w:val="54"/>
    <w:qFormat/>
    <w:uiPriority w:val="0"/>
    <w:pPr>
      <w:keepNext/>
      <w:autoSpaceDE w:val="0"/>
      <w:autoSpaceDN w:val="0"/>
      <w:adjustRightInd w:val="0"/>
      <w:snapToGrid w:val="0"/>
      <w:spacing w:before="240" w:after="64" w:line="319" w:lineRule="auto"/>
      <w:outlineLvl w:val="6"/>
    </w:pPr>
    <w:rPr>
      <w:rFonts w:ascii="宋体"/>
      <w:b/>
      <w:color w:val="000000"/>
      <w:sz w:val="24"/>
    </w:rPr>
  </w:style>
  <w:style w:type="paragraph" w:styleId="10">
    <w:name w:val="heading 8"/>
    <w:basedOn w:val="1"/>
    <w:next w:val="4"/>
    <w:link w:val="55"/>
    <w:qFormat/>
    <w:uiPriority w:val="0"/>
    <w:pPr>
      <w:keepNext/>
      <w:autoSpaceDE w:val="0"/>
      <w:autoSpaceDN w:val="0"/>
      <w:adjustRightInd w:val="0"/>
      <w:snapToGrid w:val="0"/>
      <w:spacing w:before="240" w:after="64" w:line="319" w:lineRule="auto"/>
      <w:outlineLvl w:val="7"/>
    </w:pPr>
    <w:rPr>
      <w:rFonts w:ascii="Arial" w:hAnsi="Arial" w:eastAsia="黑体"/>
      <w:color w:val="000000"/>
      <w:sz w:val="24"/>
    </w:rPr>
  </w:style>
  <w:style w:type="paragraph" w:styleId="11">
    <w:name w:val="heading 9"/>
    <w:basedOn w:val="1"/>
    <w:next w:val="4"/>
    <w:link w:val="56"/>
    <w:qFormat/>
    <w:uiPriority w:val="0"/>
    <w:pPr>
      <w:keepNext/>
      <w:autoSpaceDE w:val="0"/>
      <w:autoSpaceDN w:val="0"/>
      <w:adjustRightInd w:val="0"/>
      <w:snapToGrid w:val="0"/>
      <w:spacing w:before="240" w:after="64" w:line="319" w:lineRule="auto"/>
      <w:outlineLvl w:val="8"/>
    </w:pPr>
    <w:rPr>
      <w:rFonts w:ascii="Arial" w:hAnsi="Arial" w:eastAsia="黑体"/>
      <w:color w:val="00000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7"/>
    <w:uiPriority w:val="0"/>
    <w:pPr>
      <w:ind w:firstLine="420"/>
    </w:pPr>
  </w:style>
  <w:style w:type="paragraph" w:styleId="12">
    <w:name w:val="toc 7"/>
    <w:basedOn w:val="1"/>
    <w:next w:val="1"/>
    <w:unhideWhenUsed/>
    <w:uiPriority w:val="39"/>
    <w:pPr>
      <w:ind w:left="2520" w:leftChars="1200"/>
    </w:pPr>
  </w:style>
  <w:style w:type="paragraph" w:styleId="13">
    <w:name w:val="Document Map"/>
    <w:basedOn w:val="1"/>
    <w:link w:val="58"/>
    <w:uiPriority w:val="0"/>
    <w:rPr>
      <w:rFonts w:ascii="宋体" w:hAnsi="Tahoma"/>
      <w:sz w:val="18"/>
      <w:szCs w:val="18"/>
    </w:rPr>
  </w:style>
  <w:style w:type="paragraph" w:styleId="14">
    <w:name w:val="annotation text"/>
    <w:basedOn w:val="1"/>
    <w:link w:val="59"/>
    <w:uiPriority w:val="99"/>
    <w:rPr>
      <w:szCs w:val="24"/>
    </w:rPr>
  </w:style>
  <w:style w:type="paragraph" w:styleId="15">
    <w:name w:val="Body Text 3"/>
    <w:basedOn w:val="1"/>
    <w:link w:val="60"/>
    <w:qFormat/>
    <w:uiPriority w:val="0"/>
    <w:pPr>
      <w:spacing w:after="120"/>
    </w:pPr>
    <w:rPr>
      <w:sz w:val="16"/>
      <w:szCs w:val="16"/>
    </w:rPr>
  </w:style>
  <w:style w:type="paragraph" w:styleId="16">
    <w:name w:val="Body Text"/>
    <w:basedOn w:val="1"/>
    <w:link w:val="61"/>
    <w:qFormat/>
    <w:uiPriority w:val="0"/>
    <w:pPr>
      <w:spacing w:after="120"/>
    </w:pPr>
    <w:rPr>
      <w:rFonts w:ascii="Tahoma" w:hAnsi="Tahoma"/>
    </w:rPr>
  </w:style>
  <w:style w:type="paragraph" w:styleId="17">
    <w:name w:val="Body Text Indent"/>
    <w:basedOn w:val="1"/>
    <w:link w:val="62"/>
    <w:qFormat/>
    <w:uiPriority w:val="0"/>
    <w:pPr>
      <w:spacing w:after="120"/>
      <w:ind w:left="420" w:leftChars="200"/>
    </w:pPr>
  </w:style>
  <w:style w:type="paragraph" w:styleId="18">
    <w:name w:val="toc 5"/>
    <w:basedOn w:val="1"/>
    <w:next w:val="1"/>
    <w:unhideWhenUsed/>
    <w:qFormat/>
    <w:uiPriority w:val="39"/>
    <w:pPr>
      <w:ind w:left="1680" w:leftChars="800"/>
    </w:pPr>
  </w:style>
  <w:style w:type="paragraph" w:styleId="19">
    <w:name w:val="toc 3"/>
    <w:basedOn w:val="1"/>
    <w:next w:val="1"/>
    <w:qFormat/>
    <w:uiPriority w:val="39"/>
    <w:pPr>
      <w:ind w:left="840" w:leftChars="400"/>
    </w:pPr>
  </w:style>
  <w:style w:type="paragraph" w:styleId="20">
    <w:name w:val="Plain Text"/>
    <w:basedOn w:val="1"/>
    <w:link w:val="63"/>
    <w:qFormat/>
    <w:uiPriority w:val="0"/>
    <w:rPr>
      <w:rFonts w:ascii="宋体" w:hAnsi="Courier New"/>
      <w:szCs w:val="21"/>
    </w:rPr>
  </w:style>
  <w:style w:type="paragraph" w:styleId="21">
    <w:name w:val="toc 8"/>
    <w:basedOn w:val="1"/>
    <w:next w:val="1"/>
    <w:unhideWhenUsed/>
    <w:qFormat/>
    <w:uiPriority w:val="39"/>
    <w:pPr>
      <w:ind w:left="2940" w:leftChars="1400"/>
    </w:pPr>
  </w:style>
  <w:style w:type="paragraph" w:styleId="22">
    <w:name w:val="Date"/>
    <w:basedOn w:val="1"/>
    <w:next w:val="1"/>
    <w:link w:val="64"/>
    <w:qFormat/>
    <w:uiPriority w:val="0"/>
    <w:rPr>
      <w:rFonts w:ascii="楷体_GB2312" w:eastAsia="楷体_GB2312"/>
      <w:sz w:val="28"/>
    </w:rPr>
  </w:style>
  <w:style w:type="paragraph" w:styleId="23">
    <w:name w:val="Body Text Indent 2"/>
    <w:basedOn w:val="1"/>
    <w:link w:val="65"/>
    <w:qFormat/>
    <w:uiPriority w:val="0"/>
    <w:pPr>
      <w:spacing w:after="120" w:line="480" w:lineRule="auto"/>
      <w:ind w:left="420" w:leftChars="200"/>
    </w:pPr>
  </w:style>
  <w:style w:type="paragraph" w:styleId="24">
    <w:name w:val="Balloon Text"/>
    <w:basedOn w:val="1"/>
    <w:link w:val="66"/>
    <w:qFormat/>
    <w:uiPriority w:val="0"/>
    <w:rPr>
      <w:sz w:val="18"/>
      <w:szCs w:val="18"/>
    </w:rPr>
  </w:style>
  <w:style w:type="paragraph" w:styleId="25">
    <w:name w:val="footer"/>
    <w:basedOn w:val="1"/>
    <w:link w:val="47"/>
    <w:unhideWhenUsed/>
    <w:qFormat/>
    <w:uiPriority w:val="0"/>
    <w:pPr>
      <w:tabs>
        <w:tab w:val="center" w:pos="4153"/>
        <w:tab w:val="right" w:pos="8306"/>
      </w:tabs>
      <w:snapToGrid w:val="0"/>
      <w:jc w:val="left"/>
    </w:pPr>
    <w:rPr>
      <w:sz w:val="18"/>
      <w:szCs w:val="18"/>
    </w:rPr>
  </w:style>
  <w:style w:type="paragraph" w:styleId="26">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line="360" w:lineRule="auto"/>
      <w:ind w:left="824" w:hanging="824"/>
    </w:pPr>
    <w:rPr>
      <w:rFonts w:ascii="宋体"/>
    </w:rPr>
  </w:style>
  <w:style w:type="paragraph" w:styleId="28">
    <w:name w:val="toc 4"/>
    <w:basedOn w:val="1"/>
    <w:next w:val="1"/>
    <w:unhideWhenUsed/>
    <w:qFormat/>
    <w:uiPriority w:val="39"/>
    <w:pPr>
      <w:ind w:left="1260" w:leftChars="600"/>
    </w:pPr>
  </w:style>
  <w:style w:type="paragraph" w:styleId="29">
    <w:name w:val="toc 6"/>
    <w:basedOn w:val="1"/>
    <w:next w:val="1"/>
    <w:unhideWhenUsed/>
    <w:qFormat/>
    <w:uiPriority w:val="39"/>
    <w:pPr>
      <w:ind w:left="2100" w:leftChars="1000"/>
    </w:pPr>
  </w:style>
  <w:style w:type="paragraph" w:styleId="30">
    <w:name w:val="Body Text Indent 3"/>
    <w:basedOn w:val="1"/>
    <w:link w:val="67"/>
    <w:qFormat/>
    <w:uiPriority w:val="0"/>
    <w:pPr>
      <w:spacing w:after="120"/>
      <w:ind w:left="420" w:leftChars="200"/>
    </w:pPr>
    <w:rPr>
      <w:sz w:val="16"/>
      <w:szCs w:val="16"/>
    </w:rPr>
  </w:style>
  <w:style w:type="paragraph" w:styleId="31">
    <w:name w:val="toc 2"/>
    <w:basedOn w:val="1"/>
    <w:next w:val="1"/>
    <w:qFormat/>
    <w:uiPriority w:val="39"/>
    <w:pPr>
      <w:tabs>
        <w:tab w:val="right" w:leader="dot" w:pos="9402"/>
      </w:tabs>
      <w:spacing w:line="360" w:lineRule="auto"/>
      <w:ind w:left="993" w:leftChars="202" w:hanging="569" w:hangingChars="237"/>
    </w:pPr>
  </w:style>
  <w:style w:type="paragraph" w:styleId="32">
    <w:name w:val="toc 9"/>
    <w:basedOn w:val="1"/>
    <w:next w:val="1"/>
    <w:unhideWhenUsed/>
    <w:qFormat/>
    <w:uiPriority w:val="39"/>
    <w:pPr>
      <w:ind w:left="3360" w:leftChars="1600"/>
    </w:pPr>
  </w:style>
  <w:style w:type="paragraph" w:styleId="33">
    <w:name w:val="Body Text 2"/>
    <w:basedOn w:val="1"/>
    <w:link w:val="68"/>
    <w:qFormat/>
    <w:uiPriority w:val="0"/>
    <w:pPr>
      <w:spacing w:after="120" w:line="480" w:lineRule="auto"/>
    </w:pPr>
  </w:style>
  <w:style w:type="paragraph" w:styleId="34">
    <w:name w:val="HTML Preformatted"/>
    <w:basedOn w:val="1"/>
    <w:link w:val="69"/>
    <w:qFormat/>
    <w:uiPriority w:val="0"/>
    <w:rPr>
      <w:rFonts w:ascii="黑体" w:hAnsi="Courier New" w:eastAsia="黑体" w:cs="Courier New"/>
      <w:sz w:val="20"/>
      <w:szCs w:val="21"/>
    </w:rPr>
  </w:style>
  <w:style w:type="paragraph" w:styleId="35">
    <w:name w:val="Normal (Web)"/>
    <w:basedOn w:val="1"/>
    <w:qFormat/>
    <w:uiPriority w:val="0"/>
    <w:pPr>
      <w:spacing w:before="100" w:beforeAutospacing="1" w:after="100" w:afterAutospacing="1"/>
    </w:pPr>
    <w:rPr>
      <w:rFonts w:ascii="宋体" w:hAnsi="宋体" w:cs="宋体"/>
      <w:sz w:val="24"/>
      <w:szCs w:val="24"/>
    </w:rPr>
  </w:style>
  <w:style w:type="paragraph" w:styleId="36">
    <w:name w:val="annotation subject"/>
    <w:basedOn w:val="14"/>
    <w:next w:val="14"/>
    <w:link w:val="70"/>
    <w:qFormat/>
    <w:uiPriority w:val="0"/>
    <w:pPr>
      <w:widowControl/>
    </w:pPr>
    <w:rPr>
      <w:b/>
      <w:bCs/>
    </w:rPr>
  </w:style>
  <w:style w:type="paragraph" w:styleId="37">
    <w:name w:val="Body Text First Indent"/>
    <w:basedOn w:val="16"/>
    <w:link w:val="71"/>
    <w:qFormat/>
    <w:uiPriority w:val="0"/>
    <w:pPr>
      <w:ind w:firstLine="420" w:firstLineChars="100"/>
    </w:pPr>
  </w:style>
  <w:style w:type="table" w:styleId="39">
    <w:name w:val="Table Grid"/>
    <w:basedOn w:val="38"/>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rFonts w:ascii="Tahoma" w:hAnsi="Tahoma"/>
      <w:kern w:val="2"/>
      <w:sz w:val="21"/>
      <w:szCs w:val="21"/>
    </w:rPr>
  </w:style>
  <w:style w:type="character" w:customStyle="1" w:styleId="46">
    <w:name w:val="页眉 字符"/>
    <w:basedOn w:val="40"/>
    <w:link w:val="26"/>
    <w:qFormat/>
    <w:uiPriority w:val="0"/>
    <w:rPr>
      <w:sz w:val="18"/>
      <w:szCs w:val="18"/>
    </w:rPr>
  </w:style>
  <w:style w:type="character" w:customStyle="1" w:styleId="47">
    <w:name w:val="页脚 字符"/>
    <w:basedOn w:val="40"/>
    <w:link w:val="25"/>
    <w:uiPriority w:val="0"/>
    <w:rPr>
      <w:sz w:val="18"/>
      <w:szCs w:val="18"/>
    </w:rPr>
  </w:style>
  <w:style w:type="character" w:customStyle="1" w:styleId="48">
    <w:name w:val="标题 1 字符"/>
    <w:basedOn w:val="40"/>
    <w:link w:val="2"/>
    <w:uiPriority w:val="0"/>
    <w:rPr>
      <w:rFonts w:ascii="Calibri" w:hAnsi="Calibri" w:eastAsia="宋体" w:cs="Times New Roman"/>
      <w:b/>
      <w:bCs/>
      <w:kern w:val="44"/>
      <w:sz w:val="44"/>
      <w:szCs w:val="44"/>
    </w:rPr>
  </w:style>
  <w:style w:type="character" w:customStyle="1" w:styleId="49">
    <w:name w:val="标题 2 字符"/>
    <w:basedOn w:val="40"/>
    <w:link w:val="3"/>
    <w:uiPriority w:val="0"/>
    <w:rPr>
      <w:rFonts w:ascii="宋体" w:hAnsi="Arial" w:eastAsia="宋体" w:cs="宋体"/>
      <w:sz w:val="32"/>
    </w:rPr>
  </w:style>
  <w:style w:type="character" w:customStyle="1" w:styleId="50">
    <w:name w:val="标题 3 字符"/>
    <w:basedOn w:val="40"/>
    <w:link w:val="5"/>
    <w:uiPriority w:val="0"/>
    <w:rPr>
      <w:rFonts w:ascii="宋体" w:hAnsi="Calibri" w:eastAsia="宋体" w:cs="宋体"/>
    </w:rPr>
  </w:style>
  <w:style w:type="character" w:customStyle="1" w:styleId="51">
    <w:name w:val="标题 4 字符"/>
    <w:basedOn w:val="40"/>
    <w:link w:val="6"/>
    <w:uiPriority w:val="0"/>
    <w:rPr>
      <w:rFonts w:ascii="宋体" w:hAnsi="Arial" w:eastAsia="宋体" w:cs="宋体"/>
      <w:color w:val="000000"/>
    </w:rPr>
  </w:style>
  <w:style w:type="character" w:customStyle="1" w:styleId="52">
    <w:name w:val="标题 5 字符"/>
    <w:basedOn w:val="40"/>
    <w:link w:val="7"/>
    <w:uiPriority w:val="0"/>
    <w:rPr>
      <w:rFonts w:ascii="宋体" w:hAnsi="Calibri" w:eastAsia="宋体" w:cs="宋体"/>
      <w:b/>
      <w:color w:val="000000"/>
      <w:sz w:val="28"/>
    </w:rPr>
  </w:style>
  <w:style w:type="character" w:customStyle="1" w:styleId="53">
    <w:name w:val="标题 6 字符"/>
    <w:basedOn w:val="40"/>
    <w:link w:val="8"/>
    <w:uiPriority w:val="0"/>
    <w:rPr>
      <w:rFonts w:ascii="Arial" w:hAnsi="Arial" w:eastAsia="黑体" w:cs="Times New Roman"/>
      <w:b/>
      <w:color w:val="000000"/>
      <w:sz w:val="24"/>
    </w:rPr>
  </w:style>
  <w:style w:type="character" w:customStyle="1" w:styleId="54">
    <w:name w:val="标题 7 字符"/>
    <w:basedOn w:val="40"/>
    <w:link w:val="9"/>
    <w:uiPriority w:val="0"/>
    <w:rPr>
      <w:rFonts w:ascii="宋体" w:hAnsi="Calibri" w:eastAsia="宋体" w:cs="Times New Roman"/>
      <w:b/>
      <w:color w:val="000000"/>
      <w:sz w:val="24"/>
    </w:rPr>
  </w:style>
  <w:style w:type="character" w:customStyle="1" w:styleId="55">
    <w:name w:val="标题 8 字符"/>
    <w:basedOn w:val="40"/>
    <w:link w:val="10"/>
    <w:uiPriority w:val="0"/>
    <w:rPr>
      <w:rFonts w:ascii="Arial" w:hAnsi="Arial" w:eastAsia="黑体" w:cs="Times New Roman"/>
      <w:color w:val="000000"/>
      <w:sz w:val="24"/>
    </w:rPr>
  </w:style>
  <w:style w:type="character" w:customStyle="1" w:styleId="56">
    <w:name w:val="标题 9 字符"/>
    <w:basedOn w:val="40"/>
    <w:link w:val="11"/>
    <w:uiPriority w:val="0"/>
    <w:rPr>
      <w:rFonts w:ascii="Arial" w:hAnsi="Arial" w:eastAsia="黑体" w:cs="Times New Roman"/>
      <w:color w:val="000000"/>
    </w:rPr>
  </w:style>
  <w:style w:type="character" w:customStyle="1" w:styleId="57">
    <w:name w:val="正文缩进 字符"/>
    <w:link w:val="4"/>
    <w:uiPriority w:val="0"/>
    <w:rPr>
      <w:rFonts w:ascii="Calibri" w:hAnsi="Calibri" w:eastAsia="宋体" w:cs="Times New Roman"/>
    </w:rPr>
  </w:style>
  <w:style w:type="character" w:customStyle="1" w:styleId="58">
    <w:name w:val="文档结构图 字符"/>
    <w:basedOn w:val="40"/>
    <w:link w:val="13"/>
    <w:uiPriority w:val="0"/>
    <w:rPr>
      <w:rFonts w:ascii="宋体" w:hAnsi="Tahoma" w:eastAsia="宋体" w:cs="Times New Roman"/>
      <w:sz w:val="18"/>
      <w:szCs w:val="18"/>
    </w:rPr>
  </w:style>
  <w:style w:type="character" w:customStyle="1" w:styleId="59">
    <w:name w:val="批注文字 字符"/>
    <w:basedOn w:val="40"/>
    <w:link w:val="14"/>
    <w:uiPriority w:val="99"/>
    <w:rPr>
      <w:rFonts w:ascii="Calibri" w:hAnsi="Calibri" w:eastAsia="宋体" w:cs="Times New Roman"/>
      <w:szCs w:val="24"/>
    </w:rPr>
  </w:style>
  <w:style w:type="character" w:customStyle="1" w:styleId="60">
    <w:name w:val="正文文本 3 字符"/>
    <w:basedOn w:val="40"/>
    <w:link w:val="15"/>
    <w:qFormat/>
    <w:uiPriority w:val="0"/>
    <w:rPr>
      <w:rFonts w:ascii="Calibri" w:hAnsi="Calibri" w:eastAsia="宋体" w:cs="Times New Roman"/>
      <w:sz w:val="16"/>
      <w:szCs w:val="16"/>
    </w:rPr>
  </w:style>
  <w:style w:type="character" w:customStyle="1" w:styleId="61">
    <w:name w:val="正文文本 字符"/>
    <w:basedOn w:val="40"/>
    <w:link w:val="16"/>
    <w:qFormat/>
    <w:uiPriority w:val="0"/>
    <w:rPr>
      <w:rFonts w:ascii="Tahoma" w:hAnsi="Tahoma" w:eastAsia="宋体" w:cs="Times New Roman"/>
    </w:rPr>
  </w:style>
  <w:style w:type="character" w:customStyle="1" w:styleId="62">
    <w:name w:val="正文文本缩进 字符"/>
    <w:basedOn w:val="40"/>
    <w:link w:val="17"/>
    <w:qFormat/>
    <w:uiPriority w:val="0"/>
    <w:rPr>
      <w:rFonts w:ascii="Calibri" w:hAnsi="Calibri" w:eastAsia="宋体" w:cs="Times New Roman"/>
    </w:rPr>
  </w:style>
  <w:style w:type="character" w:customStyle="1" w:styleId="63">
    <w:name w:val="纯文本 字符"/>
    <w:basedOn w:val="40"/>
    <w:link w:val="20"/>
    <w:qFormat/>
    <w:uiPriority w:val="0"/>
    <w:rPr>
      <w:rFonts w:ascii="宋体" w:hAnsi="Courier New" w:eastAsia="宋体" w:cs="Times New Roman"/>
      <w:szCs w:val="21"/>
    </w:rPr>
  </w:style>
  <w:style w:type="character" w:customStyle="1" w:styleId="64">
    <w:name w:val="日期 字符"/>
    <w:basedOn w:val="40"/>
    <w:link w:val="22"/>
    <w:qFormat/>
    <w:uiPriority w:val="0"/>
    <w:rPr>
      <w:rFonts w:ascii="楷体_GB2312" w:hAnsi="Calibri" w:eastAsia="楷体_GB2312" w:cs="Times New Roman"/>
      <w:sz w:val="28"/>
    </w:rPr>
  </w:style>
  <w:style w:type="character" w:customStyle="1" w:styleId="65">
    <w:name w:val="正文文本缩进 2 字符"/>
    <w:basedOn w:val="40"/>
    <w:link w:val="23"/>
    <w:qFormat/>
    <w:uiPriority w:val="0"/>
    <w:rPr>
      <w:rFonts w:ascii="Calibri" w:hAnsi="Calibri" w:eastAsia="宋体" w:cs="Times New Roman"/>
    </w:rPr>
  </w:style>
  <w:style w:type="character" w:customStyle="1" w:styleId="66">
    <w:name w:val="批注框文本 字符"/>
    <w:basedOn w:val="40"/>
    <w:link w:val="24"/>
    <w:qFormat/>
    <w:uiPriority w:val="0"/>
    <w:rPr>
      <w:rFonts w:ascii="Calibri" w:hAnsi="Calibri" w:eastAsia="宋体" w:cs="Times New Roman"/>
      <w:sz w:val="18"/>
      <w:szCs w:val="18"/>
    </w:rPr>
  </w:style>
  <w:style w:type="character" w:customStyle="1" w:styleId="67">
    <w:name w:val="正文文本缩进 3 字符"/>
    <w:basedOn w:val="40"/>
    <w:link w:val="30"/>
    <w:qFormat/>
    <w:uiPriority w:val="0"/>
    <w:rPr>
      <w:rFonts w:ascii="Calibri" w:hAnsi="Calibri" w:eastAsia="宋体" w:cs="Times New Roman"/>
      <w:sz w:val="16"/>
      <w:szCs w:val="16"/>
    </w:rPr>
  </w:style>
  <w:style w:type="character" w:customStyle="1" w:styleId="68">
    <w:name w:val="正文文本 2 字符"/>
    <w:basedOn w:val="40"/>
    <w:link w:val="33"/>
    <w:qFormat/>
    <w:uiPriority w:val="0"/>
    <w:rPr>
      <w:rFonts w:ascii="Calibri" w:hAnsi="Calibri" w:eastAsia="宋体" w:cs="Times New Roman"/>
    </w:rPr>
  </w:style>
  <w:style w:type="character" w:customStyle="1" w:styleId="69">
    <w:name w:val="HTML 预设格式 字符"/>
    <w:basedOn w:val="40"/>
    <w:link w:val="34"/>
    <w:qFormat/>
    <w:uiPriority w:val="0"/>
    <w:rPr>
      <w:rFonts w:ascii="黑体" w:hAnsi="Courier New" w:eastAsia="黑体" w:cs="Courier New"/>
      <w:sz w:val="20"/>
      <w:szCs w:val="21"/>
    </w:rPr>
  </w:style>
  <w:style w:type="character" w:customStyle="1" w:styleId="70">
    <w:name w:val="批注主题 字符"/>
    <w:basedOn w:val="59"/>
    <w:link w:val="36"/>
    <w:qFormat/>
    <w:uiPriority w:val="0"/>
    <w:rPr>
      <w:rFonts w:ascii="Calibri" w:hAnsi="Calibri" w:eastAsia="宋体" w:cs="Times New Roman"/>
      <w:b/>
      <w:bCs/>
      <w:szCs w:val="24"/>
    </w:rPr>
  </w:style>
  <w:style w:type="character" w:customStyle="1" w:styleId="71">
    <w:name w:val="正文文本首行缩进 字符"/>
    <w:basedOn w:val="61"/>
    <w:link w:val="37"/>
    <w:qFormat/>
    <w:uiPriority w:val="0"/>
    <w:rPr>
      <w:rFonts w:ascii="Tahoma" w:hAnsi="Tahoma" w:eastAsia="宋体" w:cs="Times New Roman"/>
    </w:rPr>
  </w:style>
  <w:style w:type="character" w:customStyle="1" w:styleId="72">
    <w:name w:val="ll1"/>
    <w:qFormat/>
    <w:uiPriority w:val="0"/>
    <w:rPr>
      <w:spacing w:val="31680"/>
    </w:rPr>
  </w:style>
  <w:style w:type="character" w:customStyle="1" w:styleId="73">
    <w:name w:val="wf1"/>
    <w:qFormat/>
    <w:uiPriority w:val="0"/>
    <w:rPr>
      <w:rFonts w:hint="eastAsia" w:ascii="宋体" w:hAnsi="宋体" w:eastAsia="宋体"/>
      <w:sz w:val="24"/>
      <w:szCs w:val="24"/>
    </w:rPr>
  </w:style>
  <w:style w:type="character" w:customStyle="1" w:styleId="74">
    <w:name w:val="p141"/>
    <w:qFormat/>
    <w:uiPriority w:val="0"/>
    <w:rPr>
      <w:sz w:val="21"/>
      <w:szCs w:val="21"/>
    </w:rPr>
  </w:style>
  <w:style w:type="character" w:customStyle="1" w:styleId="75">
    <w:name w:val="批注文字 Char1"/>
    <w:qFormat/>
    <w:uiPriority w:val="0"/>
    <w:rPr>
      <w:rFonts w:ascii="Tahoma" w:hAnsi="Tahoma"/>
      <w:kern w:val="2"/>
      <w:sz w:val="21"/>
    </w:rPr>
  </w:style>
  <w:style w:type="character" w:customStyle="1" w:styleId="76">
    <w:name w:val="正文（首行缩进两字） Char"/>
    <w:qFormat/>
    <w:uiPriority w:val="0"/>
    <w:rPr>
      <w:rFonts w:eastAsia="宋体"/>
      <w:sz w:val="21"/>
      <w:lang w:val="en-US" w:eastAsia="zh-CN" w:bidi="ar-SA"/>
    </w:rPr>
  </w:style>
  <w:style w:type="paragraph" w:customStyle="1" w:styleId="77">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78">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79">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80">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81">
    <w:name w:val="TOC Heading"/>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82">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83">
    <w:name w:val="Char"/>
    <w:basedOn w:val="1"/>
    <w:qFormat/>
    <w:uiPriority w:val="0"/>
    <w:rPr>
      <w:rFonts w:ascii="Tahoma" w:hAnsi="Tahoma"/>
      <w:sz w:val="24"/>
    </w:rPr>
  </w:style>
  <w:style w:type="paragraph" w:customStyle="1" w:styleId="84">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85">
    <w:name w:val="p0"/>
    <w:basedOn w:val="1"/>
    <w:qFormat/>
    <w:uiPriority w:val="0"/>
    <w:rPr>
      <w:szCs w:val="21"/>
    </w:rPr>
  </w:style>
  <w:style w:type="paragraph" w:customStyle="1" w:styleId="86">
    <w:name w:val="Char Char1 Char Char Char Char Char Char Char Char Char Char"/>
    <w:basedOn w:val="1"/>
    <w:qFormat/>
    <w:uiPriority w:val="0"/>
    <w:rPr>
      <w:rFonts w:ascii="Tahoma" w:hAnsi="Tahoma"/>
      <w:sz w:val="24"/>
    </w:rPr>
  </w:style>
  <w:style w:type="paragraph" w:customStyle="1" w:styleId="87">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88">
    <w:name w:val="Char11"/>
    <w:basedOn w:val="1"/>
    <w:qFormat/>
    <w:uiPriority w:val="0"/>
    <w:pPr>
      <w:spacing w:after="160" w:line="240" w:lineRule="exact"/>
    </w:pPr>
    <w:rPr>
      <w:rFonts w:ascii="Verdana" w:hAnsi="Verdana"/>
      <w:lang w:eastAsia="en-US"/>
    </w:rPr>
  </w:style>
  <w:style w:type="paragraph" w:customStyle="1" w:styleId="89">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90">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91">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92">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93">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94">
    <w:name w:val="Revision"/>
    <w:semiHidden/>
    <w:qFormat/>
    <w:uiPriority w:val="99"/>
    <w:rPr>
      <w:rFonts w:ascii="Times New Roman" w:hAnsi="Times New Roman" w:eastAsia="宋体" w:cs="Times New Roman"/>
      <w:kern w:val="0"/>
      <w:sz w:val="21"/>
      <w:szCs w:val="20"/>
      <w:lang w:val="en-US" w:eastAsia="zh-CN" w:bidi="ar-SA"/>
    </w:rPr>
  </w:style>
  <w:style w:type="paragraph" w:customStyle="1" w:styleId="95">
    <w:name w:val="1"/>
    <w:basedOn w:val="1"/>
    <w:next w:val="20"/>
    <w:qFormat/>
    <w:uiPriority w:val="0"/>
    <w:rPr>
      <w:rFonts w:ascii="宋体" w:hAnsi="Courier New"/>
    </w:rPr>
  </w:style>
  <w:style w:type="paragraph" w:customStyle="1" w:styleId="96">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97">
    <w:name w:val="xl25"/>
    <w:basedOn w:val="1"/>
    <w:qFormat/>
    <w:uiPriority w:val="0"/>
    <w:pPr>
      <w:spacing w:before="100" w:beforeAutospacing="1" w:after="100" w:afterAutospacing="1"/>
      <w:jc w:val="right"/>
    </w:pPr>
    <w:rPr>
      <w:sz w:val="24"/>
      <w:szCs w:val="24"/>
    </w:rPr>
  </w:style>
  <w:style w:type="paragraph" w:customStyle="1" w:styleId="98">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99">
    <w:name w:val="f12"/>
    <w:basedOn w:val="1"/>
    <w:qFormat/>
    <w:uiPriority w:val="0"/>
    <w:pPr>
      <w:spacing w:before="100" w:beforeAutospacing="1" w:after="100" w:afterAutospacing="1"/>
    </w:pPr>
    <w:rPr>
      <w:rFonts w:ascii="_GB2312" w:hAnsi="_GB2312"/>
      <w:color w:val="000000"/>
      <w:szCs w:val="21"/>
    </w:rPr>
  </w:style>
  <w:style w:type="paragraph" w:customStyle="1" w:styleId="100">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01">
    <w:name w:val="f14"/>
    <w:basedOn w:val="1"/>
    <w:qFormat/>
    <w:uiPriority w:val="0"/>
    <w:pPr>
      <w:spacing w:before="100" w:beforeAutospacing="1" w:after="100" w:afterAutospacing="1"/>
    </w:pPr>
    <w:rPr>
      <w:rFonts w:ascii="_GB2312" w:hAnsi="_GB2312"/>
      <w:color w:val="000000"/>
      <w:sz w:val="28"/>
      <w:szCs w:val="28"/>
    </w:rPr>
  </w:style>
  <w:style w:type="paragraph" w:customStyle="1" w:styleId="102">
    <w:name w:val="样式1"/>
    <w:basedOn w:val="3"/>
    <w:qFormat/>
    <w:uiPriority w:val="0"/>
    <w:pPr>
      <w:tabs>
        <w:tab w:val="left" w:pos="420"/>
      </w:tabs>
      <w:ind w:left="420" w:hanging="420"/>
    </w:pPr>
    <w:rPr>
      <w:rFonts w:cs="Times New Roman"/>
      <w:b/>
    </w:rPr>
  </w:style>
  <w:style w:type="paragraph" w:customStyle="1" w:styleId="103">
    <w:name w:val="font6"/>
    <w:basedOn w:val="1"/>
    <w:qFormat/>
    <w:uiPriority w:val="0"/>
    <w:pPr>
      <w:spacing w:before="100" w:beforeAutospacing="1" w:after="100" w:afterAutospacing="1"/>
    </w:pPr>
    <w:rPr>
      <w:sz w:val="24"/>
      <w:szCs w:val="24"/>
    </w:rPr>
  </w:style>
  <w:style w:type="paragraph" w:customStyle="1" w:styleId="104">
    <w:name w:val="Char Char Char Char"/>
    <w:basedOn w:val="1"/>
    <w:qFormat/>
    <w:uiPriority w:val="0"/>
    <w:pPr>
      <w:numPr>
        <w:ilvl w:val="0"/>
        <w:numId w:val="1"/>
      </w:numPr>
      <w:spacing w:after="160" w:line="240" w:lineRule="exact"/>
    </w:pPr>
    <w:rPr>
      <w:rFonts w:ascii="Verdana" w:hAnsi="Verdana"/>
      <w:lang w:eastAsia="en-US"/>
    </w:rPr>
  </w:style>
  <w:style w:type="paragraph" w:customStyle="1" w:styleId="105">
    <w:name w:val="Char Char"/>
    <w:basedOn w:val="1"/>
    <w:qFormat/>
    <w:uiPriority w:val="0"/>
    <w:rPr>
      <w:rFonts w:ascii="Tahoma" w:hAnsi="Tahoma"/>
      <w:sz w:val="24"/>
    </w:rPr>
  </w:style>
  <w:style w:type="paragraph" w:customStyle="1" w:styleId="106">
    <w:name w:val="正文缩近"/>
    <w:basedOn w:val="1"/>
    <w:qFormat/>
    <w:uiPriority w:val="0"/>
    <w:pPr>
      <w:spacing w:line="360" w:lineRule="auto"/>
      <w:ind w:firstLine="200" w:firstLineChars="200"/>
    </w:pPr>
    <w:rPr>
      <w:sz w:val="24"/>
      <w:szCs w:val="24"/>
    </w:rPr>
  </w:style>
  <w:style w:type="paragraph" w:customStyle="1" w:styleId="107">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08">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09">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10">
    <w:name w:val="Char Char Char Char Char Char1 Char Char Char Char"/>
    <w:basedOn w:val="1"/>
    <w:qFormat/>
    <w:uiPriority w:val="0"/>
    <w:pPr>
      <w:tabs>
        <w:tab w:val="left" w:pos="360"/>
      </w:tabs>
      <w:spacing w:after="160" w:line="240" w:lineRule="exact"/>
    </w:pPr>
    <w:rPr>
      <w:sz w:val="24"/>
      <w:szCs w:val="24"/>
    </w:rPr>
  </w:style>
  <w:style w:type="paragraph" w:customStyle="1" w:styleId="111">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12">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13">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14">
    <w:name w:val="Char Char Char Char Char Char Char Char Char Char"/>
    <w:basedOn w:val="1"/>
    <w:qFormat/>
    <w:uiPriority w:val="0"/>
    <w:rPr>
      <w:rFonts w:ascii="Tahoma" w:hAnsi="Tahoma"/>
      <w:sz w:val="24"/>
    </w:rPr>
  </w:style>
  <w:style w:type="paragraph" w:customStyle="1" w:styleId="115">
    <w:name w:val="Char1 Char"/>
    <w:basedOn w:val="1"/>
    <w:qFormat/>
    <w:uiPriority w:val="0"/>
    <w:pPr>
      <w:numPr>
        <w:ilvl w:val="0"/>
        <w:numId w:val="2"/>
      </w:numPr>
    </w:pPr>
    <w:rPr>
      <w:sz w:val="24"/>
      <w:szCs w:val="24"/>
    </w:rPr>
  </w:style>
  <w:style w:type="paragraph" w:customStyle="1" w:styleId="116">
    <w:name w:val="font5"/>
    <w:basedOn w:val="1"/>
    <w:qFormat/>
    <w:uiPriority w:val="0"/>
    <w:pPr>
      <w:spacing w:before="100" w:beforeAutospacing="1" w:after="100" w:afterAutospacing="1"/>
    </w:pPr>
    <w:rPr>
      <w:rFonts w:ascii="宋体" w:hAnsi="宋体" w:cs="宋体"/>
      <w:sz w:val="18"/>
      <w:szCs w:val="18"/>
    </w:rPr>
  </w:style>
  <w:style w:type="paragraph" w:customStyle="1" w:styleId="117">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18">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119">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120">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21">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22">
    <w:name w:val="Char1"/>
    <w:basedOn w:val="1"/>
    <w:qFormat/>
    <w:uiPriority w:val="0"/>
  </w:style>
  <w:style w:type="paragraph" w:customStyle="1" w:styleId="123">
    <w:name w:val="font8"/>
    <w:basedOn w:val="1"/>
    <w:qFormat/>
    <w:uiPriority w:val="0"/>
    <w:pPr>
      <w:spacing w:before="100" w:beforeAutospacing="1" w:after="100" w:afterAutospacing="1"/>
    </w:pPr>
    <w:rPr>
      <w:b/>
      <w:bCs/>
      <w:sz w:val="36"/>
      <w:szCs w:val="36"/>
    </w:rPr>
  </w:style>
  <w:style w:type="paragraph" w:customStyle="1" w:styleId="124">
    <w:name w:val="f12pt1"/>
    <w:basedOn w:val="1"/>
    <w:qFormat/>
    <w:uiPriority w:val="0"/>
    <w:pPr>
      <w:spacing w:before="100" w:beforeAutospacing="1" w:after="100" w:afterAutospacing="1"/>
    </w:pPr>
    <w:rPr>
      <w:rFonts w:ascii="_GB2312" w:hAnsi="_GB2312"/>
      <w:color w:val="000000"/>
      <w:szCs w:val="21"/>
    </w:rPr>
  </w:style>
  <w:style w:type="paragraph" w:customStyle="1" w:styleId="125">
    <w:name w:val="font0"/>
    <w:basedOn w:val="1"/>
    <w:qFormat/>
    <w:uiPriority w:val="0"/>
    <w:pPr>
      <w:spacing w:before="100" w:beforeAutospacing="1" w:after="100" w:afterAutospacing="1"/>
    </w:pPr>
    <w:rPr>
      <w:rFonts w:ascii="宋体" w:hAnsi="宋体" w:cs="宋体"/>
      <w:sz w:val="24"/>
      <w:szCs w:val="24"/>
    </w:rPr>
  </w:style>
  <w:style w:type="paragraph" w:customStyle="1" w:styleId="126">
    <w:name w:val="Char Char Char Char Char1 Char"/>
    <w:basedOn w:val="1"/>
    <w:qFormat/>
    <w:uiPriority w:val="0"/>
    <w:rPr>
      <w:rFonts w:ascii="Tahoma" w:hAnsi="Tahoma"/>
      <w:sz w:val="24"/>
    </w:rPr>
  </w:style>
  <w:style w:type="paragraph" w:customStyle="1" w:styleId="127">
    <w:name w:val="c03"/>
    <w:basedOn w:val="1"/>
    <w:qFormat/>
    <w:uiPriority w:val="0"/>
    <w:pPr>
      <w:spacing w:before="100" w:beforeAutospacing="1" w:after="100" w:afterAutospacing="1"/>
    </w:pPr>
    <w:rPr>
      <w:rFonts w:ascii="宋体" w:hAnsi="宋体"/>
      <w:color w:val="000000"/>
      <w:sz w:val="24"/>
      <w:szCs w:val="24"/>
    </w:rPr>
  </w:style>
  <w:style w:type="paragraph" w:customStyle="1" w:styleId="128">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29">
    <w:name w:val="Char Char1 Char Char Char Char Char Char Char Char Char Char1"/>
    <w:basedOn w:val="1"/>
    <w:qFormat/>
    <w:uiPriority w:val="0"/>
    <w:rPr>
      <w:rFonts w:ascii="Tahoma" w:hAnsi="Tahoma"/>
      <w:sz w:val="24"/>
    </w:rPr>
  </w:style>
  <w:style w:type="paragraph" w:customStyle="1" w:styleId="130">
    <w:name w:val="font7"/>
    <w:basedOn w:val="1"/>
    <w:qFormat/>
    <w:uiPriority w:val="0"/>
    <w:pPr>
      <w:spacing w:before="100" w:beforeAutospacing="1" w:after="100" w:afterAutospacing="1"/>
    </w:pPr>
    <w:rPr>
      <w:rFonts w:ascii="宋体" w:hAnsi="宋体" w:cs="宋体"/>
      <w:b/>
      <w:bCs/>
      <w:sz w:val="36"/>
      <w:szCs w:val="36"/>
    </w:rPr>
  </w:style>
  <w:style w:type="paragraph" w:customStyle="1" w:styleId="131">
    <w:name w:val="需求书2"/>
    <w:basedOn w:val="1"/>
    <w:qFormat/>
    <w:uiPriority w:val="0"/>
    <w:rPr>
      <w:rFonts w:ascii="宋体" w:hAnsi="宋体"/>
      <w:b/>
      <w:spacing w:val="10"/>
      <w:sz w:val="24"/>
      <w:szCs w:val="24"/>
    </w:rPr>
  </w:style>
  <w:style w:type="paragraph" w:customStyle="1" w:styleId="132">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33">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34">
    <w:name w:val="xl3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35">
    <w:name w:val="150"/>
    <w:basedOn w:val="1"/>
    <w:uiPriority w:val="0"/>
    <w:pPr>
      <w:spacing w:before="100" w:beforeAutospacing="1" w:after="100" w:afterAutospacing="1" w:line="360" w:lineRule="auto"/>
    </w:pPr>
    <w:rPr>
      <w:rFonts w:ascii="宋体" w:hAnsi="宋体"/>
      <w:color w:val="000000"/>
      <w:sz w:val="24"/>
      <w:szCs w:val="24"/>
    </w:rPr>
  </w:style>
  <w:style w:type="paragraph" w:customStyle="1" w:styleId="136">
    <w:name w:val="Char Char Char Char Char Char Char Char Char Char1"/>
    <w:basedOn w:val="1"/>
    <w:uiPriority w:val="0"/>
    <w:rPr>
      <w:rFonts w:ascii="Tahoma" w:hAnsi="Tahoma"/>
      <w:sz w:val="24"/>
    </w:rPr>
  </w:style>
  <w:style w:type="paragraph" w:customStyle="1" w:styleId="137">
    <w:name w:val="正文_0"/>
    <w:next w:val="1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文本_0"/>
    <w:basedOn w:val="137"/>
    <w:next w:val="137"/>
    <w:qFormat/>
    <w:uiPriority w:val="0"/>
    <w:pPr>
      <w:jc w:val="center"/>
    </w:pPr>
  </w:style>
  <w:style w:type="paragraph" w:customStyle="1" w:styleId="139">
    <w:name w:val="段"/>
    <w:link w:val="1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40">
    <w:name w:val="段 Char"/>
    <w:link w:val="139"/>
    <w:qFormat/>
    <w:uiPriority w:val="0"/>
    <w:rPr>
      <w:rFonts w:ascii="宋体" w:hAnsi="Times New Roman" w:eastAsia="宋体" w:cs="Times New Roman"/>
      <w:kern w:val="0"/>
      <w:szCs w:val="20"/>
      <w:lang w:val="en-US" w:eastAsia="zh-CN"/>
    </w:rPr>
  </w:style>
  <w:style w:type="paragraph" w:customStyle="1" w:styleId="141">
    <w:name w:val="字母编号列项（一级）"/>
    <w:qFormat/>
    <w:uiPriority w:val="0"/>
    <w:pPr>
      <w:numPr>
        <w:ilvl w:val="0"/>
        <w:numId w:val="3"/>
      </w:numPr>
      <w:jc w:val="both"/>
    </w:pPr>
    <w:rPr>
      <w:rFonts w:ascii="宋体" w:hAnsi="Times New Roman" w:eastAsia="宋体" w:cs="Times New Roman"/>
      <w:kern w:val="0"/>
      <w:sz w:val="21"/>
      <w:szCs w:val="20"/>
      <w:lang w:val="en-US" w:eastAsia="zh-CN" w:bidi="ar-SA"/>
    </w:rPr>
  </w:style>
  <w:style w:type="paragraph" w:customStyle="1" w:styleId="142">
    <w:name w:val="列项●（二级）"/>
    <w:qFormat/>
    <w:uiPriority w:val="0"/>
    <w:pPr>
      <w:numPr>
        <w:ilvl w:val="1"/>
        <w:numId w:val="4"/>
      </w:numPr>
      <w:tabs>
        <w:tab w:val="left" w:pos="840"/>
      </w:tabs>
      <w:jc w:val="both"/>
    </w:pPr>
    <w:rPr>
      <w:rFonts w:ascii="宋体" w:hAnsi="Times New Roman" w:eastAsia="宋体" w:cs="Times New Roman"/>
      <w:kern w:val="0"/>
      <w:sz w:val="21"/>
      <w:szCs w:val="20"/>
      <w:lang w:val="en-US" w:eastAsia="zh-CN" w:bidi="ar-SA"/>
    </w:rPr>
  </w:style>
  <w:style w:type="paragraph" w:customStyle="1" w:styleId="143">
    <w:name w:val="目录 1_0"/>
    <w:basedOn w:val="137"/>
    <w:next w:val="137"/>
    <w:unhideWhenUsed/>
    <w:qFormat/>
    <w:uiPriority w:val="39"/>
    <w:pPr>
      <w:spacing w:before="120" w:after="120"/>
    </w:pPr>
    <w:rPr>
      <w:rFonts w:ascii="Calibri" w:eastAsia="Calibri"/>
      <w:b/>
      <w:bCs/>
      <w:caps/>
      <w:sz w:val="20"/>
      <w:szCs w:val="20"/>
    </w:rPr>
  </w:style>
  <w:style w:type="paragraph" w:customStyle="1" w:styleId="14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5">
    <w:name w:val="weby11"/>
    <w:qFormat/>
    <w:uiPriority w:val="0"/>
    <w:rPr>
      <w:rFonts w:ascii="Calibri" w:hAnsi="Calibri" w:eastAsia="微软雅黑"/>
      <w:sz w:val="18"/>
      <w:szCs w:val="18"/>
    </w:rPr>
  </w:style>
  <w:style w:type="paragraph" w:customStyle="1" w:styleId="146">
    <w:name w:val="_Style 3"/>
    <w:basedOn w:val="147"/>
    <w:qFormat/>
    <w:uiPriority w:val="34"/>
    <w:pPr>
      <w:spacing w:before="2"/>
      <w:ind w:left="738"/>
    </w:pPr>
    <w:rPr>
      <w:rFonts w:ascii="Calibri" w:hAnsi="Calibri"/>
    </w:rPr>
  </w:style>
  <w:style w:type="paragraph" w:customStyle="1" w:styleId="147">
    <w:name w:val="正文_0_1"/>
    <w:basedOn w:val="137"/>
    <w:qFormat/>
    <w:uiPriority w:val="1"/>
    <w:pPr>
      <w:ind w:firstLine="883" w:firstLineChars="200"/>
    </w:pPr>
    <w:rPr>
      <w:rFonts w:hint="eastAsia"/>
    </w:rPr>
  </w:style>
  <w:style w:type="character" w:customStyle="1" w:styleId="148">
    <w:name w:val="p141_0"/>
    <w:qFormat/>
    <w:uiPriority w:val="0"/>
    <w:rPr>
      <w:rFonts w:ascii="Calibri" w:hAnsi="Calibri"/>
      <w:sz w:val="21"/>
      <w:szCs w:val="21"/>
    </w:rPr>
  </w:style>
  <w:style w:type="paragraph" w:customStyle="1" w:styleId="149">
    <w:name w:val="批注文字_0"/>
    <w:basedOn w:val="144"/>
    <w:link w:val="150"/>
    <w:qFormat/>
    <w:uiPriority w:val="0"/>
    <w:pPr>
      <w:jc w:val="left"/>
    </w:pPr>
  </w:style>
  <w:style w:type="character" w:customStyle="1" w:styleId="150">
    <w:name w:val="批注文字 Char_0"/>
    <w:link w:val="149"/>
    <w:qFormat/>
    <w:uiPriority w:val="0"/>
    <w:rPr>
      <w:rFonts w:ascii="Times New Roman" w:hAnsi="Times New Roman" w:eastAsia="宋体" w:cs="Times New Roman"/>
      <w:szCs w:val="24"/>
    </w:rPr>
  </w:style>
  <w:style w:type="character" w:customStyle="1" w:styleId="151">
    <w:name w:val="批注引用_0"/>
    <w:qFormat/>
    <w:uiPriority w:val="99"/>
    <w:rPr>
      <w:sz w:val="21"/>
      <w:szCs w:val="21"/>
    </w:rPr>
  </w:style>
  <w:style w:type="paragraph" w:customStyle="1" w:styleId="152">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批注文字_1"/>
    <w:basedOn w:val="137"/>
    <w:link w:val="154"/>
    <w:qFormat/>
    <w:uiPriority w:val="99"/>
    <w:pPr>
      <w:jc w:val="left"/>
    </w:pPr>
  </w:style>
  <w:style w:type="character" w:customStyle="1" w:styleId="154">
    <w:name w:val="批注文字 Char_1"/>
    <w:link w:val="153"/>
    <w:qFormat/>
    <w:uiPriority w:val="99"/>
    <w:rPr>
      <w:rFonts w:ascii="Times New Roman" w:hAnsi="Times New Roman" w:eastAsia="宋体" w:cs="Times New Roman"/>
      <w:szCs w:val="24"/>
    </w:rPr>
  </w:style>
  <w:style w:type="paragraph" w:customStyle="1" w:styleId="155">
    <w:name w:val="正文_1"/>
    <w:qFormat/>
    <w:uiPriority w:val="0"/>
    <w:pPr>
      <w:widowControl w:val="0"/>
      <w:jc w:val="both"/>
    </w:pPr>
    <w:rPr>
      <w:rFonts w:ascii="Calibri" w:hAnsi="Calibri" w:eastAsia="宋体" w:cs="Times New Roman"/>
      <w:kern w:val="2"/>
      <w:sz w:val="21"/>
      <w:szCs w:val="22"/>
      <w:lang w:val="en-US" w:eastAsia="zh-CN" w:bidi="ar-SA"/>
    </w:rPr>
  </w:style>
  <w:style w:type="paragraph" w:styleId="156">
    <w:name w:val="List Paragraph"/>
    <w:basedOn w:val="137"/>
    <w:qFormat/>
    <w:uiPriority w:val="34"/>
    <w:pPr>
      <w:ind w:firstLine="420" w:firstLineChars="200"/>
    </w:pPr>
    <w:rPr>
      <w:rFonts w:ascii="Calibri" w:hAnsi="Calibri"/>
      <w:szCs w:val="22"/>
    </w:rPr>
  </w:style>
  <w:style w:type="paragraph" w:customStyle="1" w:styleId="157">
    <w:name w:val="标题 4_0"/>
    <w:basedOn w:val="158"/>
    <w:next w:val="158"/>
    <w:link w:val="159"/>
    <w:unhideWhenUsed/>
    <w:qFormat/>
    <w:uiPriority w:val="9"/>
    <w:pPr>
      <w:keepNext/>
      <w:keepLines/>
      <w:spacing w:before="280" w:after="290" w:line="376" w:lineRule="auto"/>
      <w:outlineLvl w:val="3"/>
    </w:pPr>
    <w:rPr>
      <w:rFonts w:ascii="Cambria" w:hAnsi="Cambria"/>
      <w:b/>
      <w:bCs/>
      <w:sz w:val="28"/>
      <w:szCs w:val="28"/>
    </w:rPr>
  </w:style>
  <w:style w:type="paragraph" w:customStyle="1" w:styleId="15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标题 4 Char"/>
    <w:link w:val="157"/>
    <w:qFormat/>
    <w:uiPriority w:val="9"/>
    <w:rPr>
      <w:rFonts w:ascii="Cambria" w:hAnsi="Cambria" w:eastAsia="宋体" w:cs="Times New Roman"/>
      <w:b/>
      <w:bCs/>
      <w:sz w:val="28"/>
      <w:szCs w:val="28"/>
    </w:rPr>
  </w:style>
  <w:style w:type="character" w:customStyle="1" w:styleId="160">
    <w:name w:val="p141_1"/>
    <w:qFormat/>
    <w:uiPriority w:val="0"/>
    <w:rPr>
      <w:rFonts w:ascii="Calibri" w:hAnsi="Calibri"/>
      <w:sz w:val="21"/>
      <w:szCs w:val="21"/>
    </w:rPr>
  </w:style>
  <w:style w:type="paragraph" w:customStyle="1" w:styleId="161">
    <w:name w:val="样式 New"/>
    <w:basedOn w:val="162"/>
    <w:next w:val="158"/>
    <w:qFormat/>
    <w:uiPriority w:val="0"/>
    <w:pPr>
      <w:ind w:left="572" w:right="32" w:firstLine="478"/>
    </w:pPr>
  </w:style>
  <w:style w:type="paragraph" w:customStyle="1" w:styleId="162">
    <w:name w:val="正文1"/>
    <w:qFormat/>
    <w:uiPriority w:val="0"/>
    <w:pPr>
      <w:widowControl w:val="0"/>
      <w:jc w:val="both"/>
    </w:pPr>
    <w:rPr>
      <w:rFonts w:hint="eastAsia" w:ascii="Calibri" w:hAnsi="Calibri" w:eastAsia="宋体" w:cs="Times New Roman"/>
      <w:kern w:val="2"/>
      <w:sz w:val="21"/>
      <w:szCs w:val="20"/>
      <w:lang w:val="en-US" w:eastAsia="zh-CN" w:bidi="ar-SA"/>
    </w:rPr>
  </w:style>
  <w:style w:type="paragraph" w:customStyle="1" w:styleId="163">
    <w:name w:val="纯文本_0"/>
    <w:basedOn w:val="164"/>
    <w:link w:val="165"/>
    <w:unhideWhenUsed/>
    <w:qFormat/>
    <w:uiPriority w:val="0"/>
    <w:pPr>
      <w:widowControl/>
      <w:jc w:val="left"/>
    </w:pPr>
    <w:rPr>
      <w:rFonts w:ascii="宋体" w:hAnsi="Courier New"/>
      <w:kern w:val="0"/>
      <w:sz w:val="20"/>
      <w:szCs w:val="21"/>
    </w:rPr>
  </w:style>
  <w:style w:type="paragraph" w:customStyle="1" w:styleId="16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5">
    <w:name w:val="纯文本 Char_0"/>
    <w:link w:val="163"/>
    <w:qFormat/>
    <w:locked/>
    <w:uiPriority w:val="0"/>
    <w:rPr>
      <w:rFonts w:ascii="宋体" w:hAnsi="Courier New" w:eastAsia="宋体" w:cs="Times New Roman"/>
      <w:kern w:val="0"/>
      <w:sz w:val="20"/>
      <w:szCs w:val="21"/>
    </w:rPr>
  </w:style>
  <w:style w:type="paragraph" w:customStyle="1" w:styleId="166">
    <w:name w:val="标题 3_0"/>
    <w:basedOn w:val="164"/>
    <w:next w:val="164"/>
    <w:link w:val="167"/>
    <w:unhideWhenUsed/>
    <w:qFormat/>
    <w:uiPriority w:val="9"/>
    <w:pPr>
      <w:keepNext/>
      <w:keepLines/>
      <w:numPr>
        <w:ilvl w:val="2"/>
        <w:numId w:val="5"/>
      </w:numPr>
      <w:spacing w:before="260" w:after="260" w:line="416" w:lineRule="auto"/>
      <w:outlineLvl w:val="2"/>
    </w:pPr>
    <w:rPr>
      <w:b/>
      <w:bCs/>
      <w:kern w:val="0"/>
      <w:sz w:val="32"/>
      <w:szCs w:val="32"/>
    </w:rPr>
  </w:style>
  <w:style w:type="character" w:customStyle="1" w:styleId="167">
    <w:name w:val="标题 3 Char"/>
    <w:link w:val="166"/>
    <w:qFormat/>
    <w:uiPriority w:val="9"/>
    <w:rPr>
      <w:rFonts w:ascii="Calibri" w:hAnsi="Calibri" w:eastAsia="宋体" w:cs="Times New Roman"/>
      <w:b/>
      <w:bCs/>
      <w:kern w:val="0"/>
      <w:sz w:val="32"/>
      <w:szCs w:val="32"/>
    </w:rPr>
  </w:style>
  <w:style w:type="paragraph" w:customStyle="1" w:styleId="168">
    <w:name w:val="标题 1_0"/>
    <w:basedOn w:val="164"/>
    <w:next w:val="164"/>
    <w:link w:val="169"/>
    <w:qFormat/>
    <w:uiPriority w:val="9"/>
    <w:pPr>
      <w:keepNext/>
      <w:keepLines/>
      <w:numPr>
        <w:ilvl w:val="0"/>
        <w:numId w:val="5"/>
      </w:numPr>
      <w:spacing w:before="120" w:after="120" w:line="360" w:lineRule="auto"/>
      <w:ind w:left="0" w:hanging="431" w:hangingChars="205"/>
      <w:outlineLvl w:val="0"/>
    </w:pPr>
    <w:rPr>
      <w:b/>
      <w:bCs/>
      <w:kern w:val="44"/>
      <w:sz w:val="32"/>
      <w:szCs w:val="44"/>
    </w:rPr>
  </w:style>
  <w:style w:type="character" w:customStyle="1" w:styleId="169">
    <w:name w:val="标题 1 Char"/>
    <w:link w:val="168"/>
    <w:qFormat/>
    <w:uiPriority w:val="9"/>
    <w:rPr>
      <w:rFonts w:ascii="Calibri" w:hAnsi="Calibri" w:eastAsia="宋体" w:cs="Times New Roman"/>
      <w:b/>
      <w:bCs/>
      <w:kern w:val="44"/>
      <w:sz w:val="32"/>
      <w:szCs w:val="44"/>
    </w:rPr>
  </w:style>
  <w:style w:type="paragraph" w:customStyle="1" w:styleId="170">
    <w:name w:val="标题 2_0"/>
    <w:basedOn w:val="164"/>
    <w:next w:val="164"/>
    <w:link w:val="171"/>
    <w:unhideWhenUsed/>
    <w:qFormat/>
    <w:uiPriority w:val="9"/>
    <w:pPr>
      <w:keepNext/>
      <w:keepLines/>
      <w:numPr>
        <w:ilvl w:val="1"/>
        <w:numId w:val="5"/>
      </w:numPr>
      <w:spacing w:before="260" w:after="260" w:line="416" w:lineRule="auto"/>
      <w:outlineLvl w:val="1"/>
    </w:pPr>
    <w:rPr>
      <w:rFonts w:ascii="Cambria" w:hAnsi="Cambria"/>
      <w:b/>
      <w:bCs/>
      <w:kern w:val="0"/>
      <w:sz w:val="30"/>
      <w:szCs w:val="32"/>
    </w:rPr>
  </w:style>
  <w:style w:type="character" w:customStyle="1" w:styleId="171">
    <w:name w:val="标题 2 Char"/>
    <w:link w:val="170"/>
    <w:qFormat/>
    <w:uiPriority w:val="9"/>
    <w:rPr>
      <w:rFonts w:ascii="Cambria" w:hAnsi="Cambria" w:eastAsia="宋体" w:cs="Times New Roman"/>
      <w:b/>
      <w:bCs/>
      <w:kern w:val="0"/>
      <w:sz w:val="30"/>
      <w:szCs w:val="32"/>
    </w:rPr>
  </w:style>
  <w:style w:type="paragraph" w:customStyle="1" w:styleId="172">
    <w:name w:val="标题 4_1"/>
    <w:basedOn w:val="164"/>
    <w:next w:val="164"/>
    <w:link w:val="173"/>
    <w:unhideWhenUsed/>
    <w:qFormat/>
    <w:uiPriority w:val="9"/>
    <w:pPr>
      <w:keepNext/>
      <w:keepLines/>
      <w:numPr>
        <w:ilvl w:val="3"/>
        <w:numId w:val="5"/>
      </w:numPr>
      <w:spacing w:before="280" w:after="290" w:line="376" w:lineRule="auto"/>
      <w:outlineLvl w:val="3"/>
    </w:pPr>
    <w:rPr>
      <w:rFonts w:ascii="Cambria" w:hAnsi="Cambria"/>
      <w:b/>
      <w:bCs/>
      <w:kern w:val="0"/>
      <w:sz w:val="28"/>
      <w:szCs w:val="28"/>
    </w:rPr>
  </w:style>
  <w:style w:type="character" w:customStyle="1" w:styleId="173">
    <w:name w:val="标题 4 Char_0"/>
    <w:link w:val="172"/>
    <w:qFormat/>
    <w:uiPriority w:val="9"/>
    <w:rPr>
      <w:rFonts w:ascii="Cambria" w:hAnsi="Cambria" w:eastAsia="宋体" w:cs="Times New Roman"/>
      <w:b/>
      <w:bCs/>
      <w:kern w:val="0"/>
      <w:sz w:val="28"/>
      <w:szCs w:val="28"/>
    </w:rPr>
  </w:style>
  <w:style w:type="paragraph" w:customStyle="1" w:styleId="174">
    <w:name w:val="标题 5_0"/>
    <w:basedOn w:val="164"/>
    <w:next w:val="164"/>
    <w:link w:val="175"/>
    <w:unhideWhenUsed/>
    <w:qFormat/>
    <w:uiPriority w:val="9"/>
    <w:pPr>
      <w:keepNext/>
      <w:keepLines/>
      <w:numPr>
        <w:ilvl w:val="4"/>
        <w:numId w:val="5"/>
      </w:numPr>
      <w:spacing w:before="280" w:after="290" w:line="376" w:lineRule="auto"/>
      <w:outlineLvl w:val="4"/>
    </w:pPr>
    <w:rPr>
      <w:b/>
      <w:bCs/>
      <w:kern w:val="0"/>
      <w:sz w:val="28"/>
      <w:szCs w:val="28"/>
    </w:rPr>
  </w:style>
  <w:style w:type="character" w:customStyle="1" w:styleId="175">
    <w:name w:val="标题 5 Char"/>
    <w:link w:val="174"/>
    <w:qFormat/>
    <w:uiPriority w:val="9"/>
    <w:rPr>
      <w:rFonts w:ascii="Calibri" w:hAnsi="Calibri" w:eastAsia="宋体" w:cs="Times New Roman"/>
      <w:b/>
      <w:bCs/>
      <w:kern w:val="0"/>
      <w:sz w:val="28"/>
      <w:szCs w:val="28"/>
    </w:rPr>
  </w:style>
  <w:style w:type="paragraph" w:customStyle="1" w:styleId="176">
    <w:name w:val="标题 6_0"/>
    <w:basedOn w:val="164"/>
    <w:next w:val="164"/>
    <w:link w:val="177"/>
    <w:unhideWhenUsed/>
    <w:qFormat/>
    <w:uiPriority w:val="9"/>
    <w:pPr>
      <w:keepNext/>
      <w:keepLines/>
      <w:numPr>
        <w:ilvl w:val="5"/>
        <w:numId w:val="5"/>
      </w:numPr>
      <w:spacing w:before="240" w:after="64" w:line="320" w:lineRule="auto"/>
      <w:outlineLvl w:val="5"/>
    </w:pPr>
    <w:rPr>
      <w:rFonts w:ascii="Cambria" w:hAnsi="Cambria"/>
      <w:b/>
      <w:bCs/>
      <w:kern w:val="0"/>
      <w:sz w:val="24"/>
      <w:szCs w:val="24"/>
    </w:rPr>
  </w:style>
  <w:style w:type="character" w:customStyle="1" w:styleId="177">
    <w:name w:val="标题 6 Char"/>
    <w:link w:val="176"/>
    <w:qFormat/>
    <w:uiPriority w:val="9"/>
    <w:rPr>
      <w:rFonts w:ascii="Cambria" w:hAnsi="Cambria" w:eastAsia="宋体" w:cs="Times New Roman"/>
      <w:b/>
      <w:bCs/>
      <w:kern w:val="0"/>
      <w:sz w:val="24"/>
      <w:szCs w:val="24"/>
    </w:rPr>
  </w:style>
  <w:style w:type="paragraph" w:customStyle="1" w:styleId="178">
    <w:name w:val="标题 7_0"/>
    <w:basedOn w:val="164"/>
    <w:next w:val="164"/>
    <w:link w:val="179"/>
    <w:unhideWhenUsed/>
    <w:qFormat/>
    <w:uiPriority w:val="9"/>
    <w:pPr>
      <w:keepNext/>
      <w:keepLines/>
      <w:numPr>
        <w:ilvl w:val="6"/>
        <w:numId w:val="5"/>
      </w:numPr>
      <w:spacing w:before="240" w:after="64" w:line="320" w:lineRule="auto"/>
      <w:outlineLvl w:val="6"/>
    </w:pPr>
    <w:rPr>
      <w:b/>
      <w:bCs/>
      <w:kern w:val="0"/>
      <w:sz w:val="24"/>
      <w:szCs w:val="24"/>
    </w:rPr>
  </w:style>
  <w:style w:type="character" w:customStyle="1" w:styleId="179">
    <w:name w:val="标题 7 Char"/>
    <w:link w:val="178"/>
    <w:qFormat/>
    <w:uiPriority w:val="9"/>
    <w:rPr>
      <w:rFonts w:ascii="Calibri" w:hAnsi="Calibri" w:eastAsia="宋体" w:cs="Times New Roman"/>
      <w:b/>
      <w:bCs/>
      <w:kern w:val="0"/>
      <w:sz w:val="24"/>
      <w:szCs w:val="24"/>
    </w:rPr>
  </w:style>
  <w:style w:type="paragraph" w:customStyle="1" w:styleId="180">
    <w:name w:val="标题 8_0"/>
    <w:basedOn w:val="164"/>
    <w:next w:val="164"/>
    <w:link w:val="181"/>
    <w:unhideWhenUsed/>
    <w:qFormat/>
    <w:uiPriority w:val="9"/>
    <w:pPr>
      <w:keepNext/>
      <w:keepLines/>
      <w:numPr>
        <w:ilvl w:val="7"/>
        <w:numId w:val="5"/>
      </w:numPr>
      <w:spacing w:before="240" w:after="64" w:line="320" w:lineRule="auto"/>
      <w:outlineLvl w:val="7"/>
    </w:pPr>
    <w:rPr>
      <w:rFonts w:ascii="Cambria" w:hAnsi="Cambria"/>
      <w:kern w:val="0"/>
      <w:sz w:val="24"/>
      <w:szCs w:val="24"/>
    </w:rPr>
  </w:style>
  <w:style w:type="character" w:customStyle="1" w:styleId="181">
    <w:name w:val="标题 8 Char"/>
    <w:link w:val="180"/>
    <w:qFormat/>
    <w:uiPriority w:val="9"/>
    <w:rPr>
      <w:rFonts w:ascii="Cambria" w:hAnsi="Cambria" w:eastAsia="宋体" w:cs="Times New Roman"/>
      <w:kern w:val="0"/>
      <w:sz w:val="24"/>
      <w:szCs w:val="24"/>
    </w:rPr>
  </w:style>
  <w:style w:type="paragraph" w:customStyle="1" w:styleId="182">
    <w:name w:val="标题 9_0"/>
    <w:basedOn w:val="164"/>
    <w:next w:val="164"/>
    <w:link w:val="183"/>
    <w:unhideWhenUsed/>
    <w:qFormat/>
    <w:uiPriority w:val="9"/>
    <w:pPr>
      <w:keepNext/>
      <w:keepLines/>
      <w:numPr>
        <w:ilvl w:val="8"/>
        <w:numId w:val="5"/>
      </w:numPr>
      <w:spacing w:before="240" w:after="64" w:line="320" w:lineRule="auto"/>
      <w:outlineLvl w:val="8"/>
    </w:pPr>
    <w:rPr>
      <w:rFonts w:ascii="Cambria" w:hAnsi="Cambria"/>
      <w:kern w:val="0"/>
      <w:sz w:val="20"/>
      <w:szCs w:val="21"/>
    </w:rPr>
  </w:style>
  <w:style w:type="character" w:customStyle="1" w:styleId="183">
    <w:name w:val="标题 9 Char"/>
    <w:link w:val="182"/>
    <w:qFormat/>
    <w:uiPriority w:val="9"/>
    <w:rPr>
      <w:rFonts w:ascii="Cambria" w:hAnsi="Cambria" w:eastAsia="宋体" w:cs="Times New Roman"/>
      <w:kern w:val="0"/>
      <w:sz w:val="20"/>
      <w:szCs w:val="21"/>
    </w:rPr>
  </w:style>
  <w:style w:type="paragraph" w:customStyle="1" w:styleId="184">
    <w:name w:val="纯文本_0_0"/>
    <w:basedOn w:val="185"/>
    <w:link w:val="186"/>
    <w:unhideWhenUsed/>
    <w:qFormat/>
    <w:uiPriority w:val="0"/>
    <w:pPr>
      <w:widowControl/>
      <w:jc w:val="left"/>
    </w:pPr>
    <w:rPr>
      <w:rFonts w:ascii="宋体" w:hAnsi="Courier New"/>
      <w:kern w:val="0"/>
      <w:sz w:val="20"/>
      <w:szCs w:val="21"/>
    </w:rPr>
  </w:style>
  <w:style w:type="paragraph" w:customStyle="1" w:styleId="185">
    <w:name w:val="正文_0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6">
    <w:name w:val="纯文本 Char_0_0"/>
    <w:link w:val="184"/>
    <w:qFormat/>
    <w:locked/>
    <w:uiPriority w:val="0"/>
    <w:rPr>
      <w:rFonts w:ascii="宋体" w:hAnsi="Courier New" w:eastAsia="宋体" w:cs="Times New Roman"/>
      <w:kern w:val="0"/>
      <w:sz w:val="20"/>
      <w:szCs w:val="21"/>
    </w:rPr>
  </w:style>
  <w:style w:type="paragraph" w:customStyle="1" w:styleId="187">
    <w:name w:val="纯文本1"/>
    <w:basedOn w:val="188"/>
    <w:link w:val="189"/>
    <w:qFormat/>
    <w:uiPriority w:val="0"/>
    <w:rPr>
      <w:rFonts w:ascii="宋体" w:hAnsi="Courier New"/>
      <w:kern w:val="2"/>
      <w:szCs w:val="21"/>
    </w:rPr>
  </w:style>
  <w:style w:type="paragraph" w:customStyle="1" w:styleId="188">
    <w:name w:val="Normal_5"/>
    <w:qFormat/>
    <w:uiPriority w:val="0"/>
    <w:rPr>
      <w:rFonts w:ascii="Times New Roman" w:hAnsi="Times New Roman" w:eastAsia="宋体" w:cs="Times New Roman"/>
      <w:kern w:val="0"/>
      <w:sz w:val="21"/>
      <w:szCs w:val="20"/>
      <w:lang w:val="en-US" w:eastAsia="zh-CN" w:bidi="ar-SA"/>
    </w:rPr>
  </w:style>
  <w:style w:type="character" w:customStyle="1" w:styleId="189">
    <w:name w:val="纯文本 Char_1"/>
    <w:link w:val="187"/>
    <w:qFormat/>
    <w:locked/>
    <w:uiPriority w:val="0"/>
    <w:rPr>
      <w:rFonts w:ascii="宋体" w:hAnsi="Courier New" w:eastAsia="宋体" w:cs="Times New Roman"/>
      <w:szCs w:val="21"/>
      <w:lang w:val="en-US" w:eastAsia="zh-CN"/>
    </w:rPr>
  </w:style>
  <w:style w:type="paragraph" w:customStyle="1" w:styleId="190">
    <w:name w:val="1_0"/>
    <w:basedOn w:val="188"/>
    <w:next w:val="187"/>
    <w:qFormat/>
    <w:uiPriority w:val="0"/>
    <w:pPr>
      <w:widowControl w:val="0"/>
      <w:jc w:val="both"/>
    </w:pPr>
    <w:rPr>
      <w:rFonts w:ascii="宋体" w:hAnsi="Courier New"/>
      <w:kern w:val="2"/>
    </w:rPr>
  </w:style>
  <w:style w:type="paragraph" w:customStyle="1" w:styleId="19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纯文本_1"/>
    <w:basedOn w:val="191"/>
    <w:link w:val="193"/>
    <w:unhideWhenUsed/>
    <w:qFormat/>
    <w:uiPriority w:val="0"/>
    <w:pPr>
      <w:widowControl/>
      <w:jc w:val="left"/>
    </w:pPr>
    <w:rPr>
      <w:rFonts w:ascii="宋体" w:hAnsi="Courier New"/>
      <w:kern w:val="0"/>
      <w:sz w:val="20"/>
      <w:szCs w:val="21"/>
    </w:rPr>
  </w:style>
  <w:style w:type="character" w:customStyle="1" w:styleId="193">
    <w:name w:val="纯文本 Char_2"/>
    <w:link w:val="192"/>
    <w:qFormat/>
    <w:locked/>
    <w:uiPriority w:val="0"/>
    <w:rPr>
      <w:rFonts w:ascii="宋体" w:hAnsi="Courier New" w:eastAsia="宋体" w:cs="Times New Roman"/>
      <w:kern w:val="0"/>
      <w:sz w:val="20"/>
      <w:szCs w:val="21"/>
    </w:rPr>
  </w:style>
  <w:style w:type="paragraph" w:customStyle="1" w:styleId="19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纯文本_2"/>
    <w:basedOn w:val="194"/>
    <w:link w:val="196"/>
    <w:qFormat/>
    <w:uiPriority w:val="0"/>
    <w:rPr>
      <w:rFonts w:ascii="宋体" w:hAnsi="Courier New"/>
      <w:kern w:val="0"/>
      <w:sz w:val="20"/>
      <w:szCs w:val="20"/>
    </w:rPr>
  </w:style>
  <w:style w:type="character" w:customStyle="1" w:styleId="196">
    <w:name w:val="纯文本 Char_3"/>
    <w:link w:val="195"/>
    <w:qFormat/>
    <w:uiPriority w:val="0"/>
    <w:rPr>
      <w:rFonts w:ascii="宋体" w:hAnsi="Courier New" w:eastAsia="宋体" w:cs="Times New Roman"/>
      <w:kern w:val="0"/>
      <w:sz w:val="20"/>
      <w:szCs w:val="20"/>
    </w:rPr>
  </w:style>
  <w:style w:type="paragraph" w:customStyle="1" w:styleId="19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样式1_0"/>
    <w:basedOn w:val="199"/>
    <w:link w:val="202"/>
    <w:qFormat/>
    <w:uiPriority w:val="0"/>
    <w:pPr>
      <w:widowControl/>
      <w:tabs>
        <w:tab w:val="left" w:pos="420"/>
      </w:tabs>
      <w:adjustRightInd w:val="0"/>
      <w:snapToGrid w:val="0"/>
      <w:spacing w:before="0" w:after="0" w:line="360" w:lineRule="auto"/>
      <w:ind w:left="420" w:hanging="420"/>
      <w:jc w:val="center"/>
    </w:pPr>
    <w:rPr>
      <w:rFonts w:ascii="宋体" w:hAnsi="Arial"/>
      <w:bCs w:val="0"/>
      <w:szCs w:val="20"/>
    </w:rPr>
  </w:style>
  <w:style w:type="paragraph" w:customStyle="1" w:styleId="199">
    <w:name w:val="标题 2_0_0"/>
    <w:basedOn w:val="200"/>
    <w:next w:val="200"/>
    <w:link w:val="201"/>
    <w:unhideWhenUsed/>
    <w:qFormat/>
    <w:uiPriority w:val="9"/>
    <w:pPr>
      <w:keepNext/>
      <w:keepLines/>
      <w:spacing w:before="260" w:after="260" w:line="416" w:lineRule="auto"/>
      <w:outlineLvl w:val="1"/>
    </w:pPr>
    <w:rPr>
      <w:rFonts w:ascii="Cambria" w:hAnsi="Cambria"/>
      <w:b/>
      <w:bCs/>
      <w:kern w:val="0"/>
      <w:sz w:val="32"/>
      <w:szCs w:val="32"/>
    </w:rPr>
  </w:style>
  <w:style w:type="paragraph" w:customStyle="1" w:styleId="20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1">
    <w:name w:val="标题 2 Char_0"/>
    <w:link w:val="199"/>
    <w:qFormat/>
    <w:uiPriority w:val="9"/>
    <w:rPr>
      <w:rFonts w:ascii="Cambria" w:hAnsi="Cambria" w:eastAsia="宋体" w:cs="Times New Roman"/>
      <w:b/>
      <w:bCs/>
      <w:kern w:val="0"/>
      <w:sz w:val="32"/>
      <w:szCs w:val="32"/>
    </w:rPr>
  </w:style>
  <w:style w:type="character" w:customStyle="1" w:styleId="202">
    <w:name w:val="样式1 Char"/>
    <w:link w:val="198"/>
    <w:qFormat/>
    <w:uiPriority w:val="0"/>
    <w:rPr>
      <w:rFonts w:ascii="宋体" w:hAnsi="Arial" w:eastAsia="宋体" w:cs="Times New Roman"/>
      <w:b/>
      <w:kern w:val="0"/>
      <w:sz w:val="32"/>
      <w:szCs w:val="20"/>
      <w:lang w:val="en-US" w:eastAsia="zh-CN"/>
    </w:rPr>
  </w:style>
  <w:style w:type="paragraph" w:customStyle="1" w:styleId="203">
    <w:name w:val="样式1_0_0"/>
    <w:basedOn w:val="204"/>
    <w:link w:val="207"/>
    <w:qFormat/>
    <w:uiPriority w:val="0"/>
    <w:pPr>
      <w:widowControl/>
      <w:tabs>
        <w:tab w:val="left" w:pos="420"/>
      </w:tabs>
      <w:adjustRightInd w:val="0"/>
      <w:snapToGrid w:val="0"/>
      <w:spacing w:before="0" w:after="0" w:line="360" w:lineRule="auto"/>
      <w:ind w:left="420" w:hanging="420"/>
      <w:jc w:val="center"/>
    </w:pPr>
    <w:rPr>
      <w:rFonts w:ascii="宋体" w:hAnsi="Arial"/>
      <w:bCs w:val="0"/>
      <w:szCs w:val="20"/>
    </w:rPr>
  </w:style>
  <w:style w:type="paragraph" w:customStyle="1" w:styleId="204">
    <w:name w:val="标题 2_1"/>
    <w:basedOn w:val="205"/>
    <w:next w:val="205"/>
    <w:link w:val="206"/>
    <w:unhideWhenUsed/>
    <w:qFormat/>
    <w:uiPriority w:val="9"/>
    <w:pPr>
      <w:keepNext/>
      <w:keepLines/>
      <w:spacing w:before="260" w:after="260" w:line="416" w:lineRule="auto"/>
      <w:outlineLvl w:val="1"/>
    </w:pPr>
    <w:rPr>
      <w:rFonts w:ascii="Cambria" w:hAnsi="Cambria"/>
      <w:b/>
      <w:bCs/>
      <w:kern w:val="0"/>
      <w:sz w:val="32"/>
      <w:szCs w:val="32"/>
    </w:rPr>
  </w:style>
  <w:style w:type="paragraph" w:customStyle="1" w:styleId="20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6">
    <w:name w:val="标题 2 Char_1"/>
    <w:link w:val="204"/>
    <w:qFormat/>
    <w:uiPriority w:val="9"/>
    <w:rPr>
      <w:rFonts w:ascii="Cambria" w:hAnsi="Cambria" w:eastAsia="宋体" w:cs="Times New Roman"/>
      <w:b/>
      <w:bCs/>
      <w:kern w:val="0"/>
      <w:sz w:val="32"/>
      <w:szCs w:val="32"/>
    </w:rPr>
  </w:style>
  <w:style w:type="character" w:customStyle="1" w:styleId="207">
    <w:name w:val="样式1 Char_0"/>
    <w:link w:val="203"/>
    <w:qFormat/>
    <w:uiPriority w:val="0"/>
    <w:rPr>
      <w:rFonts w:ascii="宋体" w:hAnsi="Arial" w:eastAsia="宋体" w:cs="Times New Roman"/>
      <w:b/>
      <w:kern w:val="0"/>
      <w:sz w:val="32"/>
      <w:szCs w:val="20"/>
      <w:lang w:val="en-US" w:eastAsia="zh-CN"/>
    </w:rPr>
  </w:style>
  <w:style w:type="paragraph" w:customStyle="1" w:styleId="20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Normal_13"/>
    <w:qFormat/>
    <w:uiPriority w:val="0"/>
    <w:rPr>
      <w:rFonts w:ascii="Times New Roman" w:hAnsi="Times New Roman" w:eastAsia="宋体" w:cs="Times New Roman"/>
      <w:kern w:val="0"/>
      <w:sz w:val="21"/>
      <w:szCs w:val="20"/>
      <w:lang w:val="en-US" w:eastAsia="zh-CN" w:bidi="ar-SA"/>
    </w:rPr>
  </w:style>
  <w:style w:type="paragraph" w:customStyle="1" w:styleId="210">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Normal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样式1_1"/>
    <w:basedOn w:val="214"/>
    <w:link w:val="217"/>
    <w:qFormat/>
    <w:uiPriority w:val="0"/>
    <w:pPr>
      <w:widowControl/>
      <w:tabs>
        <w:tab w:val="left" w:pos="420"/>
      </w:tabs>
      <w:adjustRightInd w:val="0"/>
      <w:snapToGrid w:val="0"/>
      <w:spacing w:before="0" w:after="0" w:line="360" w:lineRule="auto"/>
      <w:ind w:left="420" w:hanging="420"/>
      <w:jc w:val="center"/>
    </w:pPr>
    <w:rPr>
      <w:rFonts w:ascii="宋体" w:hAnsi="Arial"/>
      <w:bCs w:val="0"/>
      <w:szCs w:val="20"/>
    </w:rPr>
  </w:style>
  <w:style w:type="paragraph" w:customStyle="1" w:styleId="214">
    <w:name w:val="标题 2_2"/>
    <w:basedOn w:val="215"/>
    <w:next w:val="215"/>
    <w:link w:val="216"/>
    <w:unhideWhenUsed/>
    <w:qFormat/>
    <w:uiPriority w:val="9"/>
    <w:pPr>
      <w:keepNext/>
      <w:keepLines/>
      <w:spacing w:before="260" w:after="260" w:line="416" w:lineRule="auto"/>
      <w:outlineLvl w:val="1"/>
    </w:pPr>
    <w:rPr>
      <w:rFonts w:ascii="Cambria" w:hAnsi="Cambria"/>
      <w:b/>
      <w:bCs/>
      <w:kern w:val="0"/>
      <w:sz w:val="32"/>
      <w:szCs w:val="32"/>
    </w:rPr>
  </w:style>
  <w:style w:type="paragraph" w:customStyle="1" w:styleId="21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6">
    <w:name w:val="标题 2 Char_2"/>
    <w:link w:val="214"/>
    <w:qFormat/>
    <w:uiPriority w:val="9"/>
    <w:rPr>
      <w:rFonts w:ascii="Cambria" w:hAnsi="Cambria" w:eastAsia="宋体" w:cs="Times New Roman"/>
      <w:b/>
      <w:bCs/>
      <w:kern w:val="0"/>
      <w:sz w:val="32"/>
      <w:szCs w:val="32"/>
    </w:rPr>
  </w:style>
  <w:style w:type="character" w:customStyle="1" w:styleId="217">
    <w:name w:val="样式1 Char_1"/>
    <w:link w:val="213"/>
    <w:qFormat/>
    <w:uiPriority w:val="0"/>
    <w:rPr>
      <w:rFonts w:ascii="宋体" w:hAnsi="Arial" w:eastAsia="宋体" w:cs="Times New Roman"/>
      <w:b/>
      <w:kern w:val="0"/>
      <w:sz w:val="32"/>
      <w:szCs w:val="20"/>
      <w:lang w:val="en-US" w:eastAsia="zh-CN"/>
    </w:rPr>
  </w:style>
  <w:style w:type="paragraph" w:customStyle="1" w:styleId="21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9">
    <w:name w:val="Char2"/>
    <w:basedOn w:val="1"/>
    <w:qFormat/>
    <w:uiPriority w:val="0"/>
    <w:rPr>
      <w:rFonts w:ascii="Tahoma" w:hAnsi="Tahoma"/>
      <w:sz w:val="24"/>
    </w:rPr>
  </w:style>
  <w:style w:type="paragraph" w:customStyle="1" w:styleId="220">
    <w:name w:val="Char Char1 Char Char Char Char Char Char Char Char Char Char2"/>
    <w:basedOn w:val="1"/>
    <w:qFormat/>
    <w:uiPriority w:val="0"/>
    <w:rPr>
      <w:rFonts w:ascii="Tahoma" w:hAnsi="Tahoma"/>
      <w:sz w:val="24"/>
    </w:rPr>
  </w:style>
  <w:style w:type="paragraph" w:customStyle="1" w:styleId="221">
    <w:name w:val="Char Char Char Char1"/>
    <w:basedOn w:val="1"/>
    <w:qFormat/>
    <w:uiPriority w:val="0"/>
    <w:pPr>
      <w:tabs>
        <w:tab w:val="left" w:pos="965"/>
      </w:tabs>
      <w:spacing w:after="160" w:line="240" w:lineRule="exact"/>
      <w:ind w:left="965" w:hanging="425"/>
    </w:pPr>
    <w:rPr>
      <w:rFonts w:ascii="Verdana" w:hAnsi="Verdana"/>
      <w:lang w:eastAsia="en-US"/>
    </w:rPr>
  </w:style>
  <w:style w:type="paragraph" w:customStyle="1" w:styleId="222">
    <w:name w:val="Char Char Char Char Char Char Char Char Char Char2"/>
    <w:basedOn w:val="1"/>
    <w:qFormat/>
    <w:uiPriority w:val="0"/>
    <w:rPr>
      <w:rFonts w:ascii="Tahoma" w:hAnsi="Tahoma"/>
      <w:sz w:val="24"/>
    </w:rPr>
  </w:style>
  <w:style w:type="paragraph" w:customStyle="1" w:styleId="223">
    <w:name w:val="Char1 Char1"/>
    <w:basedOn w:val="1"/>
    <w:qFormat/>
    <w:uiPriority w:val="0"/>
    <w:pPr>
      <w:ind w:left="425" w:hanging="425"/>
    </w:pPr>
    <w:rPr>
      <w:sz w:val="24"/>
      <w:szCs w:val="24"/>
    </w:rPr>
  </w:style>
  <w:style w:type="paragraph" w:customStyle="1" w:styleId="224">
    <w:name w:val="Char12"/>
    <w:basedOn w:val="1"/>
    <w:qFormat/>
    <w:uiPriority w:val="0"/>
  </w:style>
  <w:style w:type="paragraph" w:customStyle="1" w:styleId="225">
    <w:name w:val="Char Char Char Char Char1 Char1"/>
    <w:basedOn w:val="1"/>
    <w:qFormat/>
    <w:uiPriority w:val="0"/>
    <w:rPr>
      <w:rFonts w:ascii="Tahoma" w:hAnsi="Tahoma"/>
      <w:sz w:val="24"/>
    </w:rPr>
  </w:style>
  <w:style w:type="paragraph" w:customStyle="1" w:styleId="226">
    <w:name w:val="正文2"/>
    <w:qFormat/>
    <w:uiPriority w:val="0"/>
    <w:pPr>
      <w:widowControl w:val="0"/>
      <w:jc w:val="both"/>
    </w:pPr>
    <w:rPr>
      <w:rFonts w:hint="eastAsia" w:ascii="Calibri" w:hAnsi="Calibri" w:eastAsia="宋体" w:cs="Times New Roman"/>
      <w:kern w:val="2"/>
      <w:sz w:val="21"/>
      <w:szCs w:val="20"/>
      <w:lang w:val="en-US" w:eastAsia="zh-CN" w:bidi="ar-SA"/>
    </w:rPr>
  </w:style>
  <w:style w:type="paragraph" w:customStyle="1" w:styleId="227">
    <w:name w:val="纯文本2"/>
    <w:basedOn w:val="188"/>
    <w:qFormat/>
    <w:uiPriority w:val="0"/>
    <w:rPr>
      <w:rFonts w:ascii="宋体" w:hAnsi="Courier New"/>
      <w:kern w:val="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3221</Words>
  <Characters>18361</Characters>
  <Lines>153</Lines>
  <Paragraphs>43</Paragraphs>
  <TotalTime>10</TotalTime>
  <ScaleCrop>false</ScaleCrop>
  <LinksUpToDate>false</LinksUpToDate>
  <CharactersWithSpaces>21539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2023-11-30T13:23:00Z</dcterms:created>
  <dc:creator>Administrator</dc:creator>
  <cp:lastModifiedBy>庸语</cp:lastModifiedBy>
  <dcterms:modified xsi:type="dcterms:W3CDTF">2023-12-14T01:30:06Z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95502B9F44714549B9B456133EF092F2_13</vt:lpwstr>
  </property>
</Properties>
</file>